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7"/>
        <w:rPr>
          <w:rFonts w:hAnsi="宋体" w:cs="宋体"/>
          <w:sz w:val="36"/>
          <w:szCs w:val="36"/>
        </w:rPr>
      </w:pPr>
    </w:p>
    <w:p>
      <w:pPr>
        <w:widowControl/>
        <w:snapToGrid w:val="0"/>
        <w:spacing w:before="240" w:beforeLines="100" w:after="240" w:afterLines="100"/>
        <w:jc w:val="center"/>
        <w:rPr>
          <w:rFonts w:ascii="宋体" w:hAnsi="宋体"/>
          <w:b/>
          <w:kern w:val="0"/>
          <w:sz w:val="36"/>
          <w:szCs w:val="36"/>
          <w:u w:val="single"/>
        </w:rPr>
      </w:pPr>
      <w:r>
        <w:rPr>
          <w:rFonts w:hint="eastAsia" w:ascii="宋体" w:hAnsi="宋体"/>
          <w:b/>
          <w:kern w:val="0"/>
          <w:sz w:val="36"/>
          <w:szCs w:val="36"/>
          <w:u w:val="single"/>
        </w:rPr>
        <w:t>西彭组团D63、D64地块厂房项目</w:t>
      </w:r>
    </w:p>
    <w:p>
      <w:pPr>
        <w:spacing w:line="360" w:lineRule="auto"/>
        <w:ind w:left="2385" w:hanging="2385" w:hangingChars="495"/>
        <w:jc w:val="center"/>
        <w:rPr>
          <w:rFonts w:ascii="方正小标宋简体" w:hAnsi="仿宋" w:eastAsia="方正小标宋简体"/>
          <w:b/>
          <w:sz w:val="48"/>
          <w:szCs w:val="32"/>
        </w:rPr>
      </w:pPr>
      <w:r>
        <w:rPr>
          <w:rFonts w:hint="eastAsia" w:ascii="方正小标宋简体" w:hAnsi="仿宋" w:eastAsia="方正小标宋简体"/>
          <w:b/>
          <w:sz w:val="48"/>
          <w:szCs w:val="32"/>
        </w:rPr>
        <w:t>钢结构工程专业分包</w:t>
      </w:r>
    </w:p>
    <w:p>
      <w:pPr>
        <w:rPr>
          <w:rFonts w:ascii="宋体" w:hAnsi="宋体"/>
          <w:b/>
          <w:spacing w:val="20"/>
          <w:kern w:val="10"/>
          <w:sz w:val="48"/>
          <w:szCs w:val="48"/>
        </w:rPr>
      </w:pPr>
    </w:p>
    <w:p>
      <w:pPr>
        <w:rPr>
          <w:rFonts w:ascii="黑体" w:hAnsi="宋体" w:eastAsia="黑体"/>
          <w:sz w:val="22"/>
          <w:szCs w:val="22"/>
        </w:rPr>
      </w:pPr>
    </w:p>
    <w:p>
      <w:pPr>
        <w:jc w:val="center"/>
        <w:rPr>
          <w:rFonts w:ascii="黑体" w:hAnsi="宋体" w:eastAsia="黑体"/>
          <w:sz w:val="72"/>
          <w:szCs w:val="106"/>
        </w:rPr>
      </w:pPr>
      <w:r>
        <w:rPr>
          <w:rFonts w:ascii="黑体" w:hAnsi="宋体" w:eastAsia="黑体"/>
          <w:sz w:val="72"/>
          <w:szCs w:val="106"/>
        </w:rPr>
        <w:t>招标文件</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948" w:firstLineChars="295"/>
        <w:rPr>
          <w:rFonts w:ascii="宋体" w:hAnsi="宋体"/>
          <w:b/>
          <w:sz w:val="32"/>
          <w:szCs w:val="32"/>
          <w:u w:val="single"/>
        </w:rPr>
      </w:pPr>
      <w:r>
        <w:rPr>
          <w:rFonts w:hint="eastAsia" w:ascii="宋体" w:hAnsi="宋体"/>
          <w:b/>
          <w:sz w:val="32"/>
          <w:szCs w:val="32"/>
        </w:rPr>
        <w:t>招  标 编 号：</w:t>
      </w:r>
      <w:r>
        <w:rPr>
          <w:rFonts w:hint="eastAsia" w:ascii="宋体" w:hAnsi="宋体"/>
          <w:b/>
          <w:sz w:val="32"/>
          <w:szCs w:val="32"/>
          <w:u w:val="single"/>
        </w:rPr>
        <w:t xml:space="preserve">      D63- 002     </w:t>
      </w:r>
    </w:p>
    <w:p>
      <w:pPr>
        <w:rPr>
          <w:rFonts w:ascii="宋体" w:hAnsi="宋体"/>
          <w:sz w:val="24"/>
        </w:rPr>
      </w:pPr>
    </w:p>
    <w:p>
      <w:pPr>
        <w:spacing w:line="480" w:lineRule="auto"/>
        <w:ind w:firstLine="948" w:firstLineChars="295"/>
        <w:rPr>
          <w:rFonts w:ascii="宋体" w:hAnsi="宋体"/>
          <w:b/>
          <w:sz w:val="32"/>
          <w:szCs w:val="32"/>
          <w:u w:val="single"/>
        </w:rPr>
      </w:pPr>
      <w:r>
        <w:rPr>
          <w:rFonts w:ascii="宋体" w:hAnsi="宋体"/>
          <w:b/>
          <w:sz w:val="32"/>
          <w:szCs w:val="32"/>
        </w:rPr>
        <w:t>招</w:t>
      </w:r>
      <w:r>
        <w:rPr>
          <w:rFonts w:hint="eastAsia" w:ascii="宋体" w:hAnsi="宋体"/>
          <w:b/>
          <w:sz w:val="32"/>
          <w:szCs w:val="32"/>
        </w:rPr>
        <w:t xml:space="preserve">   </w:t>
      </w:r>
      <w:r>
        <w:rPr>
          <w:rFonts w:ascii="宋体" w:hAnsi="宋体"/>
          <w:b/>
          <w:sz w:val="32"/>
          <w:szCs w:val="32"/>
        </w:rPr>
        <w:t>标</w:t>
      </w:r>
      <w:r>
        <w:rPr>
          <w:rFonts w:hint="eastAsia" w:ascii="宋体" w:hAnsi="宋体"/>
          <w:b/>
          <w:sz w:val="32"/>
          <w:szCs w:val="32"/>
        </w:rPr>
        <w:t xml:space="preserve">   </w:t>
      </w:r>
      <w:r>
        <w:rPr>
          <w:rFonts w:ascii="宋体" w:hAnsi="宋体"/>
          <w:b/>
          <w:sz w:val="32"/>
          <w:szCs w:val="32"/>
        </w:rPr>
        <w:t>人：</w:t>
      </w:r>
      <w:r>
        <w:rPr>
          <w:rFonts w:hint="eastAsia" w:ascii="宋体" w:hAnsi="宋体"/>
          <w:b/>
          <w:sz w:val="32"/>
          <w:szCs w:val="32"/>
          <w:u w:val="single"/>
        </w:rPr>
        <w:t xml:space="preserve"> 中机中联工程有限公司 </w:t>
      </w:r>
    </w:p>
    <w:p>
      <w:pPr>
        <w:spacing w:line="480" w:lineRule="auto"/>
        <w:ind w:firstLine="948" w:firstLineChars="295"/>
        <w:rPr>
          <w:rFonts w:ascii="宋体" w:hAnsi="宋体"/>
          <w:b/>
          <w:sz w:val="32"/>
          <w:szCs w:val="32"/>
        </w:rPr>
      </w:pPr>
      <w:r>
        <w:rPr>
          <w:rFonts w:hint="eastAsia" w:ascii="宋体" w:hAnsi="宋体"/>
          <w:b/>
          <w:sz w:val="32"/>
          <w:szCs w:val="32"/>
        </w:rPr>
        <w:t>地        址：</w:t>
      </w:r>
      <w:r>
        <w:rPr>
          <w:rFonts w:hint="eastAsia" w:ascii="宋体" w:hAnsi="宋体"/>
          <w:b/>
          <w:sz w:val="32"/>
          <w:szCs w:val="32"/>
          <w:u w:val="single"/>
        </w:rPr>
        <w:t xml:space="preserve">   重庆市渝州路17号  </w:t>
      </w:r>
    </w:p>
    <w:p>
      <w:pPr>
        <w:wordWrap w:val="0"/>
        <w:autoSpaceDE w:val="0"/>
        <w:autoSpaceDN w:val="0"/>
        <w:adjustRightInd w:val="0"/>
        <w:snapToGrid w:val="0"/>
        <w:spacing w:line="360" w:lineRule="auto"/>
        <w:ind w:firstLine="948" w:firstLineChars="295"/>
        <w:rPr>
          <w:rFonts w:ascii="宋体" w:hAnsi="宋体"/>
          <w:b/>
          <w:sz w:val="32"/>
          <w:szCs w:val="32"/>
          <w:u w:val="single"/>
        </w:rPr>
      </w:pPr>
      <w:r>
        <w:rPr>
          <w:rFonts w:hint="eastAsia" w:ascii="宋体" w:hAnsi="宋体"/>
          <w:b/>
          <w:sz w:val="32"/>
          <w:szCs w:val="32"/>
        </w:rPr>
        <w:t>时        间：</w:t>
      </w:r>
      <w:r>
        <w:rPr>
          <w:rFonts w:hint="eastAsia" w:ascii="宋体" w:hAnsi="宋体"/>
          <w:b/>
          <w:sz w:val="32"/>
          <w:szCs w:val="32"/>
          <w:u w:val="single"/>
        </w:rPr>
        <w:t xml:space="preserve">     2018 </w:t>
      </w:r>
      <w:r>
        <w:rPr>
          <w:rFonts w:ascii="宋体" w:hAnsi="宋体"/>
          <w:b/>
          <w:sz w:val="32"/>
          <w:szCs w:val="32"/>
          <w:u w:val="single"/>
        </w:rPr>
        <w:t>年</w:t>
      </w:r>
      <w:r>
        <w:rPr>
          <w:rFonts w:hint="eastAsia" w:ascii="宋体" w:hAnsi="宋体"/>
          <w:b/>
          <w:sz w:val="32"/>
          <w:szCs w:val="32"/>
          <w:u w:val="single"/>
        </w:rPr>
        <w:t xml:space="preserve">6月    </w:t>
      </w:r>
    </w:p>
    <w:p>
      <w:pPr>
        <w:wordWrap w:val="0"/>
        <w:autoSpaceDE w:val="0"/>
        <w:autoSpaceDN w:val="0"/>
        <w:adjustRightInd w:val="0"/>
        <w:snapToGrid w:val="0"/>
        <w:spacing w:line="360" w:lineRule="auto"/>
        <w:ind w:firstLine="948" w:firstLineChars="295"/>
        <w:rPr>
          <w:rFonts w:ascii="宋体" w:hAnsi="宋体"/>
          <w:b/>
          <w:sz w:val="32"/>
          <w:szCs w:val="32"/>
          <w:u w:val="single"/>
        </w:rPr>
      </w:pPr>
    </w:p>
    <w:p>
      <w:pPr>
        <w:wordWrap w:val="0"/>
        <w:autoSpaceDE w:val="0"/>
        <w:autoSpaceDN w:val="0"/>
        <w:adjustRightInd w:val="0"/>
        <w:snapToGrid w:val="0"/>
        <w:spacing w:line="360" w:lineRule="auto"/>
        <w:ind w:firstLine="948" w:firstLineChars="295"/>
        <w:rPr>
          <w:rFonts w:ascii="宋体" w:hAnsi="宋体"/>
          <w:b/>
          <w:sz w:val="32"/>
          <w:szCs w:val="32"/>
          <w:u w:val="single"/>
        </w:rPr>
      </w:pPr>
    </w:p>
    <w:p>
      <w:pPr>
        <w:wordWrap w:val="0"/>
        <w:autoSpaceDE w:val="0"/>
        <w:autoSpaceDN w:val="0"/>
        <w:adjustRightInd w:val="0"/>
        <w:snapToGrid w:val="0"/>
        <w:spacing w:line="360" w:lineRule="auto"/>
        <w:ind w:firstLine="948" w:firstLineChars="295"/>
        <w:rPr>
          <w:rFonts w:ascii="宋体" w:hAnsi="宋体"/>
          <w:b/>
          <w:sz w:val="32"/>
          <w:szCs w:val="32"/>
          <w:u w:val="single"/>
        </w:rPr>
      </w:pPr>
    </w:p>
    <w:p>
      <w:pPr>
        <w:wordWrap w:val="0"/>
        <w:autoSpaceDE w:val="0"/>
        <w:autoSpaceDN w:val="0"/>
        <w:adjustRightInd w:val="0"/>
        <w:snapToGrid w:val="0"/>
        <w:spacing w:line="360" w:lineRule="auto"/>
        <w:ind w:firstLine="948" w:firstLineChars="295"/>
        <w:rPr>
          <w:rFonts w:ascii="宋体" w:hAnsi="宋体"/>
          <w:b/>
          <w:sz w:val="32"/>
          <w:szCs w:val="32"/>
          <w:u w:val="single"/>
        </w:rPr>
      </w:pPr>
    </w:p>
    <w:p>
      <w:pPr>
        <w:spacing w:line="480" w:lineRule="auto"/>
        <w:rPr>
          <w:rFonts w:ascii="宋体" w:hAnsi="宋体"/>
          <w:b/>
          <w:sz w:val="32"/>
          <w:szCs w:val="32"/>
        </w:rPr>
        <w:sectPr>
          <w:footerReference r:id="rId3" w:type="default"/>
          <w:footerReference r:id="rId4" w:type="even"/>
          <w:pgSz w:w="11906" w:h="16838"/>
          <w:pgMar w:top="1418" w:right="1361" w:bottom="1418" w:left="1418" w:header="851" w:footer="992" w:gutter="0"/>
          <w:pgNumType w:start="0"/>
          <w:cols w:space="720" w:num="1"/>
          <w:docGrid w:linePitch="312" w:charSpace="0"/>
        </w:sectPr>
      </w:pPr>
    </w:p>
    <w:p>
      <w:pPr>
        <w:spacing w:line="480" w:lineRule="auto"/>
        <w:rPr>
          <w:rFonts w:ascii="宋体" w:hAnsi="宋体"/>
          <w:b/>
          <w:sz w:val="32"/>
          <w:szCs w:val="32"/>
        </w:rPr>
      </w:pPr>
    </w:p>
    <w:p>
      <w:pPr>
        <w:autoSpaceDE w:val="0"/>
        <w:autoSpaceDN w:val="0"/>
        <w:adjustRightInd w:val="0"/>
        <w:snapToGrid w:val="0"/>
        <w:spacing w:line="360" w:lineRule="auto"/>
        <w:jc w:val="center"/>
        <w:rPr>
          <w:rFonts w:ascii="黑体" w:eastAsia="黑体" w:cs="MingLiU"/>
          <w:b/>
          <w:kern w:val="0"/>
          <w:sz w:val="52"/>
          <w:szCs w:val="52"/>
        </w:rPr>
      </w:pPr>
      <w:r>
        <w:rPr>
          <w:rFonts w:hint="eastAsia" w:ascii="黑体" w:eastAsia="黑体" w:cs="MingLiU"/>
          <w:b/>
          <w:kern w:val="0"/>
          <w:sz w:val="52"/>
          <w:szCs w:val="52"/>
        </w:rPr>
        <w:t>目　　录</w:t>
      </w:r>
    </w:p>
    <w:p>
      <w:pPr>
        <w:rPr>
          <w:szCs w:val="20"/>
        </w:rPr>
      </w:pPr>
    </w:p>
    <w:p>
      <w:pPr>
        <w:pStyle w:val="35"/>
        <w:numPr>
          <w:ilvl w:val="0"/>
          <w:numId w:val="1"/>
        </w:numPr>
        <w:spacing w:line="360" w:lineRule="auto"/>
        <w:rPr>
          <w:b w:val="0"/>
          <w:bCs w:val="0"/>
          <w:caps w:val="0"/>
          <w:sz w:val="21"/>
          <w:szCs w:val="24"/>
        </w:rPr>
      </w:pPr>
      <w:r>
        <w:fldChar w:fldCharType="begin"/>
      </w:r>
      <w:r>
        <w:instrText xml:space="preserve"> TOC \o "1-1" \h \z \u </w:instrText>
      </w:r>
      <w:r>
        <w:fldChar w:fldCharType="separate"/>
      </w:r>
      <w:r>
        <w:fldChar w:fldCharType="begin"/>
      </w:r>
      <w:r>
        <w:instrText xml:space="preserve"> HYPERLINK \l "_Toc300662167" </w:instrText>
      </w:r>
      <w:r>
        <w:fldChar w:fldCharType="separate"/>
      </w:r>
      <w:r>
        <w:rPr>
          <w:rStyle w:val="57"/>
          <w:rFonts w:hint="eastAsia" w:ascii="宋体" w:hAnsi="宋体"/>
          <w:color w:val="auto"/>
          <w:kern w:val="0"/>
        </w:rPr>
        <w:t>投标邀请书</w:t>
      </w:r>
      <w:r>
        <w:rPr>
          <w:rStyle w:val="57"/>
          <w:rFonts w:hint="eastAsia" w:ascii="宋体" w:hAnsi="宋体"/>
          <w:color w:val="auto"/>
          <w:kern w:val="0"/>
        </w:rPr>
        <w:fldChar w:fldCharType="end"/>
      </w:r>
    </w:p>
    <w:p>
      <w:pPr>
        <w:pStyle w:val="35"/>
        <w:spacing w:line="360" w:lineRule="auto"/>
        <w:rPr>
          <w:b w:val="0"/>
          <w:bCs w:val="0"/>
          <w:caps w:val="0"/>
          <w:sz w:val="21"/>
          <w:szCs w:val="24"/>
        </w:rPr>
      </w:pPr>
      <w:r>
        <w:fldChar w:fldCharType="begin"/>
      </w:r>
      <w:r>
        <w:instrText xml:space="preserve"> HYPERLINK \l "_Toc300662168" </w:instrText>
      </w:r>
      <w:r>
        <w:fldChar w:fldCharType="separate"/>
      </w:r>
      <w:r>
        <w:rPr>
          <w:rStyle w:val="57"/>
          <w:rFonts w:hint="eastAsia"/>
          <w:snapToGrid w:val="0"/>
          <w:color w:val="auto"/>
          <w:kern w:val="0"/>
        </w:rPr>
        <w:t xml:space="preserve">第二章 </w:t>
      </w:r>
      <w:r>
        <w:rPr>
          <w:rStyle w:val="57"/>
          <w:rFonts w:hint="eastAsia"/>
          <w:color w:val="auto"/>
          <w:kern w:val="0"/>
        </w:rPr>
        <w:t>投标人须知</w:t>
      </w:r>
      <w:r>
        <w:rPr>
          <w:rStyle w:val="57"/>
          <w:rFonts w:hint="eastAsia"/>
          <w:color w:val="auto"/>
          <w:kern w:val="0"/>
        </w:rPr>
        <w:fldChar w:fldCharType="end"/>
      </w:r>
    </w:p>
    <w:p>
      <w:pPr>
        <w:pStyle w:val="35"/>
        <w:spacing w:line="360" w:lineRule="auto"/>
        <w:rPr>
          <w:rFonts w:ascii="宋体" w:hAnsi="宋体"/>
          <w:kern w:val="0"/>
          <w:u w:val="single"/>
        </w:rPr>
      </w:pPr>
      <w:r>
        <w:fldChar w:fldCharType="begin"/>
      </w:r>
      <w:r>
        <w:instrText xml:space="preserve"> HYPERLINK \l "_Toc300662169" </w:instrText>
      </w:r>
      <w:r>
        <w:fldChar w:fldCharType="separate"/>
      </w:r>
      <w:r>
        <w:rPr>
          <w:rStyle w:val="57"/>
          <w:rFonts w:hint="eastAsia" w:ascii="宋体" w:hAnsi="宋体"/>
          <w:color w:val="auto"/>
          <w:kern w:val="0"/>
        </w:rPr>
        <w:t>第三章 评标办法</w:t>
      </w:r>
      <w:r>
        <w:rPr>
          <w:rStyle w:val="57"/>
          <w:rFonts w:hint="eastAsia" w:ascii="宋体" w:hAnsi="宋体"/>
          <w:color w:val="auto"/>
          <w:kern w:val="0"/>
        </w:rPr>
        <w:fldChar w:fldCharType="end"/>
      </w:r>
    </w:p>
    <w:p>
      <w:pPr>
        <w:pStyle w:val="35"/>
        <w:spacing w:line="360" w:lineRule="auto"/>
        <w:rPr>
          <w:rStyle w:val="57"/>
          <w:color w:val="auto"/>
        </w:rPr>
      </w:pPr>
      <w:r>
        <w:fldChar w:fldCharType="begin"/>
      </w:r>
      <w:r>
        <w:instrText xml:space="preserve"> HYPERLINK \l "_Toc300662170" </w:instrText>
      </w:r>
      <w:r>
        <w:fldChar w:fldCharType="separate"/>
      </w:r>
      <w:r>
        <w:rPr>
          <w:rStyle w:val="57"/>
          <w:rFonts w:hint="eastAsia"/>
          <w:color w:val="auto"/>
        </w:rPr>
        <w:t>第四章 合同条款格式</w:t>
      </w:r>
      <w:r>
        <w:rPr>
          <w:rStyle w:val="57"/>
          <w:rFonts w:hint="eastAsia"/>
          <w:color w:val="auto"/>
        </w:rPr>
        <w:fldChar w:fldCharType="end"/>
      </w:r>
    </w:p>
    <w:p>
      <w:pPr>
        <w:pStyle w:val="35"/>
        <w:spacing w:line="360" w:lineRule="auto"/>
      </w:pPr>
      <w:r>
        <w:rPr>
          <w:rStyle w:val="57"/>
          <w:rFonts w:hint="eastAsia"/>
          <w:color w:val="auto"/>
          <w:u w:val="none"/>
        </w:rPr>
        <w:t xml:space="preserve">第五章  </w:t>
      </w:r>
      <w:r>
        <w:fldChar w:fldCharType="begin"/>
      </w:r>
      <w:r>
        <w:instrText xml:space="preserve"> HYPERLINK \l "_Toc300662172" </w:instrText>
      </w:r>
      <w:r>
        <w:fldChar w:fldCharType="separate"/>
      </w:r>
      <w:r>
        <w:rPr>
          <w:rStyle w:val="57"/>
          <w:rFonts w:hint="eastAsia"/>
          <w:color w:val="auto"/>
        </w:rPr>
        <w:t>图纸</w:t>
      </w:r>
      <w:r>
        <w:rPr>
          <w:rStyle w:val="57"/>
          <w:rFonts w:hint="eastAsia"/>
          <w:color w:val="auto"/>
        </w:rPr>
        <w:fldChar w:fldCharType="end"/>
      </w:r>
    </w:p>
    <w:p>
      <w:pPr>
        <w:pStyle w:val="35"/>
        <w:spacing w:line="360" w:lineRule="auto"/>
      </w:pPr>
      <w:r>
        <w:fldChar w:fldCharType="begin"/>
      </w:r>
      <w:r>
        <w:instrText xml:space="preserve"> HYPERLINK \l "_Toc300662173" </w:instrText>
      </w:r>
      <w:r>
        <w:fldChar w:fldCharType="separate"/>
      </w:r>
      <w:r>
        <w:rPr>
          <w:rStyle w:val="57"/>
          <w:rFonts w:hint="eastAsia"/>
          <w:color w:val="auto"/>
        </w:rPr>
        <w:t>第六章　技术标准及要求</w:t>
      </w:r>
      <w:r>
        <w:rPr>
          <w:rStyle w:val="57"/>
          <w:rFonts w:hint="eastAsia"/>
          <w:color w:val="auto"/>
        </w:rPr>
        <w:fldChar w:fldCharType="end"/>
      </w:r>
    </w:p>
    <w:p>
      <w:pPr>
        <w:pStyle w:val="35"/>
        <w:spacing w:line="360" w:lineRule="auto"/>
      </w:pPr>
      <w:r>
        <w:fldChar w:fldCharType="begin"/>
      </w:r>
      <w:r>
        <w:instrText xml:space="preserve"> HYPERLINK \l "_Toc300662173" </w:instrText>
      </w:r>
      <w:r>
        <w:fldChar w:fldCharType="separate"/>
      </w:r>
      <w:r>
        <w:rPr>
          <w:rStyle w:val="57"/>
          <w:rFonts w:hint="eastAsia"/>
          <w:color w:val="auto"/>
        </w:rPr>
        <w:t>第七章　投标文件格式</w:t>
      </w:r>
      <w:r>
        <w:rPr>
          <w:rStyle w:val="57"/>
          <w:rFonts w:hint="eastAsia"/>
          <w:color w:val="auto"/>
        </w:rPr>
        <w:fldChar w:fldCharType="end"/>
      </w:r>
    </w:p>
    <w:p>
      <w:pPr>
        <w:pStyle w:val="35"/>
        <w:spacing w:line="360" w:lineRule="auto"/>
      </w:pPr>
      <w:r>
        <w:fldChar w:fldCharType="begin"/>
      </w:r>
      <w:r>
        <w:instrText xml:space="preserve"> HYPERLINK \l "_Toc300662173" </w:instrText>
      </w:r>
      <w:r>
        <w:fldChar w:fldCharType="separate"/>
      </w:r>
      <w:r>
        <w:rPr>
          <w:rStyle w:val="57"/>
          <w:rFonts w:hint="eastAsia"/>
          <w:color w:val="auto"/>
        </w:rPr>
        <w:t>第八章　工程量清单</w:t>
      </w:r>
      <w:r>
        <w:rPr>
          <w:rStyle w:val="57"/>
          <w:rFonts w:hint="eastAsia"/>
          <w:color w:val="auto"/>
        </w:rPr>
        <w:fldChar w:fldCharType="end"/>
      </w:r>
    </w:p>
    <w:p>
      <w:pPr>
        <w:spacing w:line="360" w:lineRule="auto"/>
        <w:rPr>
          <w:szCs w:val="20"/>
        </w:rPr>
        <w:sectPr>
          <w:footerReference r:id="rId5" w:type="default"/>
          <w:pgSz w:w="11906" w:h="16838"/>
          <w:pgMar w:top="1418" w:right="1361" w:bottom="1418" w:left="1418" w:header="851" w:footer="992" w:gutter="0"/>
          <w:pgNumType w:start="1"/>
          <w:cols w:space="720" w:num="1"/>
          <w:docGrid w:linePitch="312" w:charSpace="0"/>
        </w:sectPr>
      </w:pPr>
      <w:r>
        <w:rPr>
          <w:sz w:val="28"/>
          <w:szCs w:val="20"/>
        </w:rPr>
        <w:fldChar w:fldCharType="end"/>
      </w:r>
    </w:p>
    <w:p>
      <w:pPr>
        <w:spacing w:line="460" w:lineRule="exact"/>
        <w:jc w:val="center"/>
        <w:rPr>
          <w:rFonts w:ascii="方正小标宋简体" w:hAnsi="仿宋" w:eastAsia="方正小标宋简体"/>
          <w:b/>
          <w:sz w:val="32"/>
          <w:szCs w:val="32"/>
        </w:rPr>
      </w:pPr>
      <w:bookmarkStart w:id="0" w:name="第01卷"/>
      <w:bookmarkEnd w:id="0"/>
      <w:bookmarkStart w:id="1" w:name="_Toc287620674"/>
      <w:bookmarkStart w:id="2" w:name="_Toc300662167"/>
      <w:bookmarkStart w:id="3" w:name="_Toc287607735"/>
      <w:bookmarkStart w:id="4" w:name="_Toc224103306"/>
      <w:r>
        <w:rPr>
          <w:rFonts w:hint="eastAsia" w:ascii="方正小标宋简体" w:hAnsi="仿宋" w:eastAsia="方正小标宋简体"/>
          <w:b/>
          <w:sz w:val="32"/>
          <w:szCs w:val="32"/>
        </w:rPr>
        <w:t>第一章 投标邀请书</w:t>
      </w:r>
      <w:bookmarkEnd w:id="1"/>
      <w:bookmarkEnd w:id="2"/>
      <w:bookmarkEnd w:id="3"/>
      <w:bookmarkEnd w:id="4"/>
    </w:p>
    <w:p>
      <w:pPr>
        <w:spacing w:line="460" w:lineRule="exact"/>
        <w:jc w:val="center"/>
        <w:rPr>
          <w:rFonts w:ascii="宋体" w:hAnsi="宋体" w:cs="MingLiU"/>
          <w:b/>
          <w:kern w:val="0"/>
          <w:sz w:val="28"/>
          <w:szCs w:val="28"/>
        </w:rPr>
      </w:pPr>
      <w:r>
        <w:rPr>
          <w:rFonts w:hint="eastAsia" w:ascii="宋体" w:hAnsi="宋体" w:cs="MingLiU"/>
          <w:b/>
          <w:kern w:val="0"/>
          <w:sz w:val="28"/>
          <w:szCs w:val="28"/>
        </w:rPr>
        <w:t xml:space="preserve"> 西彭组团D63、D64地块厂房项目钢结构工程</w:t>
      </w:r>
    </w:p>
    <w:p>
      <w:pPr>
        <w:spacing w:line="460" w:lineRule="exact"/>
        <w:jc w:val="center"/>
        <w:rPr>
          <w:rFonts w:ascii="宋体" w:hAnsi="宋体" w:cs="MingLiU"/>
          <w:b/>
          <w:kern w:val="0"/>
          <w:sz w:val="28"/>
          <w:szCs w:val="28"/>
        </w:rPr>
      </w:pPr>
      <w:r>
        <w:rPr>
          <w:rFonts w:hint="eastAsia" w:ascii="宋体" w:hAnsi="宋体" w:cs="MingLiU"/>
          <w:b/>
          <w:kern w:val="0"/>
          <w:sz w:val="28"/>
          <w:szCs w:val="28"/>
        </w:rPr>
        <w:t>专业分包投标邀请书</w:t>
      </w:r>
    </w:p>
    <w:p>
      <w:pPr>
        <w:tabs>
          <w:tab w:val="left" w:pos="2940"/>
        </w:tabs>
        <w:autoSpaceDE w:val="0"/>
        <w:autoSpaceDN w:val="0"/>
        <w:adjustRightInd w:val="0"/>
        <w:snapToGrid w:val="0"/>
        <w:spacing w:line="420" w:lineRule="exact"/>
        <w:jc w:val="left"/>
        <w:rPr>
          <w:rFonts w:ascii="宋体" w:hAnsi="宋体" w:cs="宋体"/>
          <w:b/>
          <w:snapToGrid w:val="0"/>
          <w:sz w:val="28"/>
          <w:szCs w:val="28"/>
        </w:rPr>
      </w:pPr>
      <w:r>
        <w:rPr>
          <w:rFonts w:hint="eastAsia" w:ascii="宋体" w:hAnsi="宋体" w:cs="宋体"/>
          <w:b/>
          <w:snapToGrid w:val="0"/>
          <w:kern w:val="0"/>
          <w:szCs w:val="21"/>
          <w:u w:val="single"/>
        </w:rPr>
        <w:tab/>
      </w:r>
      <w:r>
        <w:rPr>
          <w:rFonts w:hint="eastAsia" w:ascii="宋体" w:hAnsi="宋体" w:cs="宋体"/>
          <w:snapToGrid w:val="0"/>
          <w:kern w:val="0"/>
          <w:szCs w:val="21"/>
        </w:rPr>
        <w:t>（被邀请单位名称）</w:t>
      </w:r>
    </w:p>
    <w:p>
      <w:pPr>
        <w:pStyle w:val="3"/>
        <w:spacing w:before="0" w:after="0" w:line="500" w:lineRule="exact"/>
        <w:rPr>
          <w:rFonts w:ascii="宋体" w:hAnsi="宋体" w:cs="宋体"/>
          <w:snapToGrid w:val="0"/>
        </w:rPr>
      </w:pPr>
      <w:bookmarkStart w:id="5" w:name="_Toc287607736"/>
      <w:bookmarkStart w:id="6" w:name="_Toc287620675"/>
      <w:bookmarkStart w:id="7" w:name="_Toc224103307"/>
      <w:bookmarkStart w:id="8" w:name="_Toc277082543"/>
      <w:r>
        <w:rPr>
          <w:rFonts w:hint="eastAsia" w:ascii="宋体" w:hAnsi="宋体" w:cs="宋体"/>
          <w:snapToGrid w:val="0"/>
        </w:rPr>
        <w:t>1.  招标条件</w:t>
      </w:r>
      <w:bookmarkEnd w:id="5"/>
      <w:bookmarkEnd w:id="6"/>
      <w:bookmarkEnd w:id="7"/>
      <w:bookmarkEnd w:id="8"/>
    </w:p>
    <w:p>
      <w:pPr>
        <w:spacing w:line="500" w:lineRule="exact"/>
        <w:ind w:firstLine="420" w:firstLineChars="200"/>
        <w:rPr>
          <w:rFonts w:ascii="宋体" w:hAnsi="宋体" w:cs="宋体"/>
          <w:b/>
          <w:snapToGrid w:val="0"/>
          <w:kern w:val="0"/>
          <w:szCs w:val="21"/>
          <w:u w:val="single"/>
        </w:rPr>
      </w:pPr>
      <w:r>
        <w:rPr>
          <w:rFonts w:hint="eastAsia" w:ascii="宋体" w:hAnsi="宋体" w:cs="宋体"/>
          <w:snapToGrid w:val="0"/>
          <w:kern w:val="0"/>
          <w:szCs w:val="21"/>
        </w:rPr>
        <w:t>本招标项目为</w:t>
      </w:r>
      <w:r>
        <w:rPr>
          <w:rFonts w:hint="eastAsia" w:ascii="宋体" w:hAnsi="宋体" w:cs="宋体"/>
          <w:snapToGrid w:val="0"/>
          <w:kern w:val="0"/>
          <w:szCs w:val="21"/>
          <w:u w:val="single"/>
        </w:rPr>
        <w:t xml:space="preserve"> 西彭组团D63、D64地块厂房项目钢结构工程专业分包 </w:t>
      </w:r>
      <w:r>
        <w:rPr>
          <w:rFonts w:hint="eastAsia" w:ascii="宋体" w:hAnsi="宋体" w:cs="宋体"/>
          <w:snapToGrid w:val="0"/>
          <w:kern w:val="0"/>
          <w:szCs w:val="21"/>
        </w:rPr>
        <w:t>，招标人为</w:t>
      </w:r>
      <w:r>
        <w:rPr>
          <w:rFonts w:hint="eastAsia" w:ascii="宋体" w:hAnsi="宋体" w:cs="宋体"/>
          <w:szCs w:val="21"/>
          <w:u w:val="single"/>
        </w:rPr>
        <w:t xml:space="preserve"> 中机中联工程有限公司 </w:t>
      </w:r>
      <w:r>
        <w:rPr>
          <w:rFonts w:hint="eastAsia" w:ascii="宋体" w:hAnsi="宋体" w:cs="宋体"/>
          <w:snapToGrid w:val="0"/>
          <w:kern w:val="0"/>
          <w:szCs w:val="21"/>
        </w:rPr>
        <w:t>。项目已具备招标条件，邀请贵单位参加</w:t>
      </w:r>
      <w:r>
        <w:rPr>
          <w:rFonts w:hint="eastAsia" w:ascii="宋体" w:hAnsi="宋体" w:cs="宋体"/>
          <w:snapToGrid w:val="0"/>
          <w:kern w:val="0"/>
          <w:szCs w:val="21"/>
          <w:u w:val="single"/>
        </w:rPr>
        <w:t xml:space="preserve"> 西彭组团D63、D64地块厂房项目钢结构工程专业分包</w:t>
      </w:r>
      <w:r>
        <w:rPr>
          <w:rFonts w:hint="eastAsia" w:ascii="宋体" w:hAnsi="宋体" w:cs="宋体"/>
          <w:snapToGrid w:val="0"/>
          <w:kern w:val="0"/>
          <w:szCs w:val="21"/>
        </w:rPr>
        <w:t>施工投标</w:t>
      </w:r>
      <w:r>
        <w:rPr>
          <w:rFonts w:hint="eastAsia" w:ascii="宋体" w:hAnsi="宋体" w:cs="宋体"/>
          <w:szCs w:val="21"/>
        </w:rPr>
        <w:t>。</w:t>
      </w:r>
    </w:p>
    <w:p>
      <w:pPr>
        <w:pStyle w:val="3"/>
        <w:spacing w:before="0" w:after="0" w:line="500" w:lineRule="exact"/>
        <w:rPr>
          <w:rFonts w:ascii="宋体" w:hAnsi="宋体" w:cs="宋体"/>
          <w:snapToGrid w:val="0"/>
        </w:rPr>
      </w:pPr>
      <w:bookmarkStart w:id="9" w:name="_Toc287607737"/>
      <w:bookmarkStart w:id="10" w:name="_Toc287620676"/>
      <w:bookmarkStart w:id="11" w:name="_Toc277082544"/>
      <w:bookmarkStart w:id="12" w:name="_Toc224103308"/>
      <w:r>
        <w:rPr>
          <w:rFonts w:hint="eastAsia" w:ascii="宋体" w:hAnsi="宋体" w:cs="宋体"/>
          <w:snapToGrid w:val="0"/>
        </w:rPr>
        <w:t>2.  项目概况与招标范围</w:t>
      </w:r>
      <w:bookmarkEnd w:id="9"/>
      <w:bookmarkEnd w:id="10"/>
      <w:bookmarkEnd w:id="11"/>
      <w:bookmarkEnd w:id="12"/>
    </w:p>
    <w:p>
      <w:pPr>
        <w:tabs>
          <w:tab w:val="left" w:pos="525"/>
          <w:tab w:val="left" w:pos="5080"/>
        </w:tabs>
        <w:autoSpaceDE w:val="0"/>
        <w:autoSpaceDN w:val="0"/>
        <w:adjustRightInd w:val="0"/>
        <w:snapToGrid w:val="0"/>
        <w:spacing w:line="500" w:lineRule="exact"/>
        <w:ind w:firstLine="420" w:firstLineChars="200"/>
        <w:jc w:val="left"/>
        <w:rPr>
          <w:rFonts w:ascii="宋体" w:hAnsi="宋体" w:cs="宋体"/>
          <w:snapToGrid w:val="0"/>
          <w:kern w:val="0"/>
          <w:szCs w:val="21"/>
        </w:rPr>
      </w:pPr>
      <w:bookmarkStart w:id="13" w:name="_Toc224103309"/>
      <w:bookmarkStart w:id="14" w:name="_Toc287607738"/>
      <w:bookmarkStart w:id="15" w:name="_Toc287620677"/>
      <w:bookmarkStart w:id="16" w:name="_Toc277082545"/>
      <w:r>
        <w:rPr>
          <w:rFonts w:hint="eastAsia" w:ascii="宋体" w:hAnsi="宋体" w:cs="宋体"/>
          <w:snapToGrid w:val="0"/>
          <w:kern w:val="0"/>
          <w:szCs w:val="21"/>
        </w:rPr>
        <w:t>2.1 建设地点：</w:t>
      </w:r>
      <w:r>
        <w:rPr>
          <w:rFonts w:hint="eastAsia" w:ascii="宋体" w:hAnsi="宋体" w:cs="宋体"/>
          <w:snapToGrid w:val="0"/>
          <w:kern w:val="0"/>
          <w:szCs w:val="21"/>
          <w:u w:val="single"/>
        </w:rPr>
        <w:t>西彭组团D63、D64地块</w:t>
      </w:r>
      <w:r>
        <w:rPr>
          <w:rFonts w:hint="eastAsia" w:ascii="宋体" w:hAnsi="宋体" w:cs="宋体"/>
          <w:snapToGrid w:val="0"/>
          <w:kern w:val="0"/>
          <w:szCs w:val="21"/>
        </w:rPr>
        <w:t>。</w:t>
      </w:r>
    </w:p>
    <w:p>
      <w:pPr>
        <w:spacing w:line="500" w:lineRule="exact"/>
        <w:ind w:firstLine="420" w:firstLineChars="200"/>
        <w:rPr>
          <w:rFonts w:ascii="宋体" w:hAnsi="宋体" w:cs="宋体"/>
          <w:snapToGrid w:val="0"/>
          <w:kern w:val="0"/>
          <w:szCs w:val="21"/>
          <w:u w:val="single"/>
        </w:rPr>
      </w:pPr>
      <w:r>
        <w:rPr>
          <w:rFonts w:hint="eastAsia" w:ascii="宋体" w:hAnsi="宋体" w:cs="宋体"/>
          <w:snapToGrid w:val="0"/>
          <w:kern w:val="0"/>
          <w:szCs w:val="21"/>
          <w:u w:val="single"/>
        </w:rPr>
        <w:t>2.2 项目概况：西彭组团D63、D64地块厂房项目项目钢结构工程。</w:t>
      </w:r>
    </w:p>
    <w:p>
      <w:pPr>
        <w:spacing w:line="50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u w:val="single"/>
        </w:rPr>
        <w:t>2.3招标范围（详见图纸、工程量清单及技术标准与要求）：西彭组团D63、D64地块厂房项目钢结构工程所有钢结构工程</w:t>
      </w:r>
      <w:r>
        <w:rPr>
          <w:rFonts w:hint="eastAsia" w:ascii="宋体" w:hAnsi="宋体" w:cs="宋体"/>
          <w:snapToGrid w:val="0"/>
          <w:kern w:val="0"/>
          <w:szCs w:val="21"/>
          <w:highlight w:val="yellow"/>
          <w:u w:val="single"/>
        </w:rPr>
        <w:t>（不含栏杆，不含室内隔墙，），包括但不限于：地脚螺栓的预埋，主次钢构（含行车梁）的加工、制作、运输、安装，钢爬梯、钢楼梯的制作安装，内外天沟制作安装，女儿墙口铝单板幕墙的制作安装，辅房楼承钢板的制作安装，屋脊通风器的采购及安装，屋面采光窗的制作及安装，设备及管道的支架制作安装，防火防腐涂料的涂装，屋面维护系统的制作安装，墙面维护系统的制作安装，墙面屋面的收边收口等，玻璃幕墙采购、制作、安装，铝合金窗采购、安装（详见图纸）。</w:t>
      </w:r>
    </w:p>
    <w:p>
      <w:pPr>
        <w:snapToGrid w:val="0"/>
        <w:spacing w:line="360" w:lineRule="auto"/>
        <w:ind w:firstLine="525" w:firstLineChars="250"/>
        <w:jc w:val="left"/>
        <w:rPr>
          <w:rFonts w:ascii="宋体" w:hAnsi="宋体" w:cs="宋体"/>
          <w:b/>
          <w:bCs/>
          <w:szCs w:val="21"/>
          <w:u w:val="single"/>
        </w:rPr>
      </w:pPr>
      <w:r>
        <w:rPr>
          <w:rFonts w:hint="eastAsia" w:ascii="宋体" w:hAnsi="宋体" w:cs="宋体"/>
          <w:snapToGrid w:val="0"/>
          <w:kern w:val="0"/>
          <w:szCs w:val="21"/>
          <w:u w:val="single"/>
        </w:rPr>
        <w:t>2.4：</w:t>
      </w:r>
      <w:r>
        <w:rPr>
          <w:rFonts w:hint="eastAsia" w:ascii="宋体" w:hAnsi="宋体" w:cs="宋体"/>
          <w:b/>
          <w:bCs/>
          <w:snapToGrid w:val="0"/>
          <w:kern w:val="0"/>
          <w:szCs w:val="21"/>
          <w:u w:val="single"/>
        </w:rPr>
        <w:t>特别说明：钢结构的</w:t>
      </w:r>
      <w:r>
        <w:rPr>
          <w:rFonts w:hint="eastAsia" w:ascii="宋体" w:hAnsi="宋体" w:cs="宋体"/>
          <w:b/>
          <w:bCs/>
          <w:szCs w:val="21"/>
          <w:u w:val="single"/>
        </w:rPr>
        <w:t>防火涂料、防火板等由承包人报项目所在地消防主管部门，由该部门出具合格验收意见函。达到不影响整体项目消防验收的目的。</w:t>
      </w:r>
    </w:p>
    <w:p>
      <w:pPr>
        <w:snapToGrid w:val="0"/>
        <w:spacing w:line="360" w:lineRule="auto"/>
        <w:ind w:firstLine="527" w:firstLineChars="250"/>
        <w:jc w:val="left"/>
        <w:rPr>
          <w:rFonts w:ascii="宋体" w:hAnsi="宋体" w:cs="宋体"/>
          <w:b/>
          <w:bCs/>
          <w:szCs w:val="21"/>
          <w:u w:val="single"/>
        </w:rPr>
      </w:pPr>
      <w:r>
        <w:rPr>
          <w:rFonts w:hint="eastAsia" w:ascii="宋体" w:hAnsi="宋体" w:cs="宋体"/>
          <w:b/>
          <w:bCs/>
          <w:szCs w:val="21"/>
          <w:u w:val="single"/>
        </w:rPr>
        <w:t>2.5甲供材：</w:t>
      </w:r>
    </w:p>
    <w:p>
      <w:pPr>
        <w:pStyle w:val="3"/>
        <w:spacing w:before="0" w:after="0" w:line="500" w:lineRule="exact"/>
        <w:rPr>
          <w:rFonts w:ascii="宋体" w:hAnsi="宋体" w:cs="宋体"/>
          <w:snapToGrid w:val="0"/>
        </w:rPr>
      </w:pPr>
      <w:r>
        <w:rPr>
          <w:rFonts w:hint="eastAsia" w:ascii="宋体" w:hAnsi="宋体" w:cs="宋体"/>
          <w:snapToGrid w:val="0"/>
        </w:rPr>
        <w:t>3.  投标人资格要求</w:t>
      </w:r>
      <w:bookmarkEnd w:id="13"/>
      <w:bookmarkEnd w:id="14"/>
      <w:bookmarkEnd w:id="15"/>
      <w:bookmarkEnd w:id="16"/>
    </w:p>
    <w:p>
      <w:pPr>
        <w:autoSpaceDE w:val="0"/>
        <w:autoSpaceDN w:val="0"/>
        <w:adjustRightInd w:val="0"/>
        <w:snapToGrid w:val="0"/>
        <w:spacing w:line="500" w:lineRule="exact"/>
        <w:ind w:firstLine="415" w:firstLineChars="198"/>
        <w:jc w:val="left"/>
        <w:rPr>
          <w:rFonts w:ascii="宋体" w:hAnsi="宋体" w:cs="宋体"/>
          <w:snapToGrid w:val="0"/>
          <w:kern w:val="0"/>
          <w:szCs w:val="21"/>
        </w:rPr>
      </w:pPr>
      <w:r>
        <w:rPr>
          <w:rFonts w:hint="eastAsia" w:ascii="宋体" w:hAnsi="宋体" w:cs="宋体"/>
          <w:snapToGrid w:val="0"/>
          <w:kern w:val="0"/>
          <w:szCs w:val="21"/>
        </w:rPr>
        <w:t>3.1  本次招标要求投标人具备：</w:t>
      </w:r>
    </w:p>
    <w:p>
      <w:pPr>
        <w:tabs>
          <w:tab w:val="left" w:pos="525"/>
          <w:tab w:val="left" w:pos="5080"/>
        </w:tabs>
        <w:autoSpaceDE w:val="0"/>
        <w:autoSpaceDN w:val="0"/>
        <w:adjustRightInd w:val="0"/>
        <w:snapToGrid w:val="0"/>
        <w:spacing w:line="500" w:lineRule="exact"/>
        <w:ind w:firstLine="735" w:firstLineChars="350"/>
        <w:jc w:val="left"/>
        <w:rPr>
          <w:rFonts w:ascii="宋体" w:hAnsi="宋体" w:cs="宋体"/>
          <w:snapToGrid w:val="0"/>
          <w:kern w:val="0"/>
          <w:szCs w:val="21"/>
          <w:u w:val="single"/>
        </w:rPr>
      </w:pPr>
      <w:r>
        <w:rPr>
          <w:rFonts w:hint="eastAsia" w:ascii="宋体" w:hAnsi="宋体" w:cs="宋体"/>
          <w:snapToGrid w:val="0"/>
          <w:kern w:val="0"/>
          <w:szCs w:val="21"/>
          <w:u w:val="single"/>
        </w:rPr>
        <w:t>1、建设行政主管部门颁发的钢结构专业承包壹级资质。</w:t>
      </w:r>
    </w:p>
    <w:p>
      <w:pPr>
        <w:tabs>
          <w:tab w:val="left" w:pos="525"/>
          <w:tab w:val="left" w:pos="5080"/>
        </w:tabs>
        <w:autoSpaceDE w:val="0"/>
        <w:autoSpaceDN w:val="0"/>
        <w:adjustRightInd w:val="0"/>
        <w:snapToGrid w:val="0"/>
        <w:spacing w:line="500" w:lineRule="exact"/>
        <w:ind w:firstLine="735" w:firstLineChars="350"/>
        <w:jc w:val="left"/>
        <w:rPr>
          <w:rFonts w:ascii="宋体" w:hAnsi="宋体" w:cs="宋体"/>
          <w:snapToGrid w:val="0"/>
          <w:kern w:val="0"/>
          <w:szCs w:val="21"/>
          <w:u w:val="single"/>
        </w:rPr>
      </w:pPr>
      <w:r>
        <w:rPr>
          <w:rFonts w:hint="eastAsia" w:ascii="宋体" w:hAnsi="宋体" w:cs="宋体"/>
          <w:snapToGrid w:val="0"/>
          <w:kern w:val="0"/>
          <w:szCs w:val="21"/>
          <w:u w:val="single"/>
        </w:rPr>
        <w:t>2、注册资本500万元（含）人民币以上。</w:t>
      </w:r>
    </w:p>
    <w:p>
      <w:pPr>
        <w:tabs>
          <w:tab w:val="left" w:pos="525"/>
          <w:tab w:val="left" w:pos="5080"/>
        </w:tabs>
        <w:autoSpaceDE w:val="0"/>
        <w:autoSpaceDN w:val="0"/>
        <w:adjustRightInd w:val="0"/>
        <w:snapToGrid w:val="0"/>
        <w:spacing w:line="500" w:lineRule="exact"/>
        <w:ind w:firstLine="735" w:firstLineChars="350"/>
        <w:jc w:val="left"/>
        <w:rPr>
          <w:rFonts w:ascii="宋体" w:hAnsi="宋体" w:cs="宋体"/>
          <w:snapToGrid w:val="0"/>
          <w:kern w:val="0"/>
          <w:szCs w:val="21"/>
          <w:u w:val="single"/>
        </w:rPr>
      </w:pPr>
      <w:r>
        <w:rPr>
          <w:rFonts w:hint="eastAsia" w:ascii="宋体" w:hAnsi="宋体" w:cs="宋体"/>
          <w:snapToGrid w:val="0"/>
          <w:kern w:val="0"/>
          <w:szCs w:val="21"/>
          <w:u w:val="single"/>
        </w:rPr>
        <w:t>3、在人员、设备、资金等方面具有承担本标段施工的能力并经招标人供方资格评审合格。</w:t>
      </w:r>
    </w:p>
    <w:p>
      <w:pPr>
        <w:tabs>
          <w:tab w:val="left" w:pos="2060"/>
          <w:tab w:val="left" w:pos="8205"/>
        </w:tabs>
        <w:autoSpaceDE w:val="0"/>
        <w:autoSpaceDN w:val="0"/>
        <w:adjustRightInd w:val="0"/>
        <w:snapToGrid w:val="0"/>
        <w:spacing w:line="500" w:lineRule="exact"/>
        <w:ind w:firstLine="405" w:firstLineChars="193"/>
        <w:jc w:val="left"/>
        <w:rPr>
          <w:rFonts w:ascii="宋体" w:hAnsi="宋体" w:cs="宋体"/>
          <w:snapToGrid w:val="0"/>
          <w:kern w:val="0"/>
          <w:szCs w:val="21"/>
        </w:rPr>
      </w:pPr>
      <w:r>
        <w:rPr>
          <w:rFonts w:hint="eastAsia" w:ascii="宋体" w:hAnsi="宋体" w:cs="宋体"/>
          <w:snapToGrid w:val="0"/>
          <w:kern w:val="0"/>
          <w:szCs w:val="21"/>
        </w:rPr>
        <w:t>3.2  本次招标不接受联合体投标。</w:t>
      </w:r>
      <w:bookmarkStart w:id="17" w:name="_Toc224103310"/>
      <w:bookmarkStart w:id="18" w:name="_Toc277082546"/>
      <w:bookmarkStart w:id="19" w:name="_Toc287620678"/>
      <w:bookmarkStart w:id="20" w:name="_Toc287607739"/>
    </w:p>
    <w:p>
      <w:pPr>
        <w:pStyle w:val="3"/>
        <w:spacing w:before="0" w:after="0" w:line="500" w:lineRule="exact"/>
        <w:rPr>
          <w:rFonts w:ascii="宋体" w:hAnsi="宋体" w:cs="宋体"/>
          <w:snapToGrid w:val="0"/>
        </w:rPr>
      </w:pPr>
      <w:r>
        <w:rPr>
          <w:rFonts w:hint="eastAsia" w:ascii="宋体" w:hAnsi="宋体" w:cs="宋体"/>
          <w:snapToGrid w:val="0"/>
        </w:rPr>
        <w:t>4.  招标文件的获取</w:t>
      </w:r>
      <w:bookmarkEnd w:id="17"/>
      <w:bookmarkEnd w:id="18"/>
      <w:bookmarkEnd w:id="19"/>
      <w:bookmarkEnd w:id="20"/>
    </w:p>
    <w:p>
      <w:pPr>
        <w:pStyle w:val="27"/>
        <w:spacing w:line="500" w:lineRule="exact"/>
        <w:ind w:firstLine="420" w:firstLineChars="200"/>
        <w:rPr>
          <w:rFonts w:hAnsi="宋体" w:cs="宋体"/>
        </w:rPr>
      </w:pPr>
      <w:r>
        <w:rPr>
          <w:rFonts w:hint="eastAsia" w:hAnsi="宋体" w:cs="宋体"/>
        </w:rPr>
        <w:t>4.1</w:t>
      </w:r>
      <w:r>
        <w:rPr>
          <w:rFonts w:hint="eastAsia" w:hAnsi="宋体" w:cs="宋体"/>
          <w:snapToGrid w:val="0"/>
          <w:kern w:val="0"/>
        </w:rPr>
        <w:t>招标人</w:t>
      </w:r>
      <w:r>
        <w:rPr>
          <w:rFonts w:hint="eastAsia" w:hAnsi="宋体" w:cs="宋体"/>
          <w:snapToGrid w:val="0"/>
          <w:kern w:val="0"/>
          <w:highlight w:val="yellow"/>
          <w:u w:val="single"/>
        </w:rPr>
        <w:t xml:space="preserve">  2018 年</w:t>
      </w:r>
      <w:r>
        <w:rPr>
          <w:rFonts w:hint="eastAsia" w:hAnsi="宋体" w:cs="宋体"/>
          <w:snapToGrid w:val="0"/>
          <w:kern w:val="0"/>
          <w:highlight w:val="yellow"/>
          <w:u w:val="single"/>
          <w:lang w:val="en-US" w:eastAsia="zh-CN"/>
        </w:rPr>
        <w:t>8</w:t>
      </w:r>
      <w:r>
        <w:rPr>
          <w:rFonts w:hint="eastAsia" w:hAnsi="宋体" w:cs="宋体"/>
          <w:snapToGrid w:val="0"/>
          <w:kern w:val="0"/>
          <w:highlight w:val="yellow"/>
          <w:u w:val="single"/>
        </w:rPr>
        <w:t>月</w:t>
      </w:r>
      <w:r>
        <w:rPr>
          <w:rFonts w:hint="eastAsia" w:hAnsi="宋体" w:cs="宋体"/>
          <w:snapToGrid w:val="0"/>
          <w:kern w:val="0"/>
          <w:highlight w:val="yellow"/>
          <w:u w:val="single"/>
          <w:lang w:val="en-US" w:eastAsia="zh-CN"/>
        </w:rPr>
        <w:t>8</w:t>
      </w:r>
      <w:r>
        <w:rPr>
          <w:rFonts w:hint="eastAsia" w:hAnsi="宋体" w:cs="宋体"/>
          <w:snapToGrid w:val="0"/>
          <w:kern w:val="0"/>
          <w:highlight w:val="yellow"/>
          <w:u w:val="single"/>
        </w:rPr>
        <w:t>日</w:t>
      </w:r>
      <w:r>
        <w:rPr>
          <w:rFonts w:hint="eastAsia" w:hAnsi="宋体" w:cs="宋体"/>
          <w:snapToGrid w:val="0"/>
          <w:kern w:val="0"/>
        </w:rPr>
        <w:t>通过</w:t>
      </w:r>
      <w:r>
        <w:rPr>
          <w:rFonts w:hint="eastAsia" w:hAnsi="宋体" w:cs="宋体"/>
          <w:snapToGrid w:val="0"/>
          <w:kern w:val="0"/>
          <w:lang w:eastAsia="zh-CN"/>
        </w:rPr>
        <w:t>公司官网</w:t>
      </w:r>
      <w:r>
        <w:rPr>
          <w:rFonts w:hint="eastAsia" w:hAnsi="宋体" w:cs="宋体"/>
          <w:snapToGrid w:val="0"/>
          <w:kern w:val="0"/>
        </w:rPr>
        <w:t>发布招标文件</w:t>
      </w:r>
      <w:r>
        <w:rPr>
          <w:rFonts w:hint="eastAsia" w:hAnsi="宋体" w:cs="宋体"/>
        </w:rPr>
        <w:t xml:space="preserve">。 </w:t>
      </w:r>
    </w:p>
    <w:p>
      <w:pPr>
        <w:pStyle w:val="3"/>
        <w:spacing w:before="0" w:after="0" w:line="500" w:lineRule="exact"/>
        <w:rPr>
          <w:rFonts w:ascii="宋体" w:hAnsi="宋体" w:cs="宋体"/>
          <w:snapToGrid w:val="0"/>
        </w:rPr>
      </w:pPr>
      <w:bookmarkStart w:id="21" w:name="_Toc277082547"/>
      <w:bookmarkStart w:id="22" w:name="_Toc287607740"/>
      <w:bookmarkStart w:id="23" w:name="_Toc287620679"/>
      <w:bookmarkStart w:id="24" w:name="_Toc224103311"/>
      <w:r>
        <w:rPr>
          <w:rFonts w:hint="eastAsia" w:ascii="宋体" w:hAnsi="宋体" w:cs="宋体"/>
          <w:snapToGrid w:val="0"/>
        </w:rPr>
        <w:t>5.  投标文件的递交</w:t>
      </w:r>
      <w:bookmarkEnd w:id="21"/>
      <w:bookmarkEnd w:id="22"/>
      <w:bookmarkEnd w:id="23"/>
      <w:bookmarkEnd w:id="24"/>
    </w:p>
    <w:p>
      <w:pPr>
        <w:tabs>
          <w:tab w:val="left" w:pos="1580"/>
          <w:tab w:val="left" w:pos="6000"/>
          <w:tab w:val="left" w:pos="6320"/>
          <w:tab w:val="left" w:pos="6887"/>
          <w:tab w:val="left" w:pos="7475"/>
        </w:tabs>
        <w:autoSpaceDE w:val="0"/>
        <w:autoSpaceDN w:val="0"/>
        <w:adjustRightInd w:val="0"/>
        <w:snapToGrid w:val="0"/>
        <w:spacing w:line="500" w:lineRule="exact"/>
        <w:ind w:firstLine="390" w:firstLineChars="186"/>
        <w:jc w:val="left"/>
        <w:rPr>
          <w:rFonts w:ascii="宋体" w:hAnsi="宋体" w:cs="宋体"/>
          <w:snapToGrid w:val="0"/>
          <w:kern w:val="0"/>
          <w:szCs w:val="21"/>
        </w:rPr>
      </w:pPr>
      <w:r>
        <w:rPr>
          <w:rFonts w:hint="eastAsia" w:ascii="宋体" w:hAnsi="宋体" w:cs="宋体"/>
          <w:snapToGrid w:val="0"/>
          <w:kern w:val="0"/>
          <w:szCs w:val="21"/>
        </w:rPr>
        <w:t>5.1  投标文件递交的截止时间为</w:t>
      </w:r>
      <w:r>
        <w:rPr>
          <w:rFonts w:hint="eastAsia" w:ascii="宋体" w:hAnsi="宋体" w:cs="宋体"/>
          <w:snapToGrid w:val="0"/>
          <w:kern w:val="0"/>
          <w:szCs w:val="21"/>
          <w:highlight w:val="yellow"/>
          <w:u w:val="single"/>
        </w:rPr>
        <w:t xml:space="preserve">  2018  </w:t>
      </w:r>
      <w:r>
        <w:rPr>
          <w:rFonts w:hint="eastAsia" w:ascii="宋体" w:hAnsi="宋体" w:cs="宋体"/>
          <w:snapToGrid w:val="0"/>
          <w:kern w:val="0"/>
          <w:szCs w:val="21"/>
          <w:highlight w:val="yellow"/>
        </w:rPr>
        <w:t>年</w:t>
      </w:r>
      <w:r>
        <w:rPr>
          <w:rFonts w:hint="eastAsia" w:ascii="宋体" w:hAnsi="宋体" w:cs="宋体"/>
          <w:snapToGrid w:val="0"/>
          <w:kern w:val="0"/>
          <w:szCs w:val="21"/>
          <w:highlight w:val="yellow"/>
          <w:lang w:val="en-US" w:eastAsia="zh-CN"/>
        </w:rPr>
        <w:t>8</w:t>
      </w:r>
      <w:r>
        <w:rPr>
          <w:rFonts w:hint="eastAsia" w:ascii="宋体" w:hAnsi="宋体" w:cs="宋体"/>
          <w:snapToGrid w:val="0"/>
          <w:kern w:val="0"/>
          <w:szCs w:val="21"/>
          <w:highlight w:val="yellow"/>
        </w:rPr>
        <w:t>月</w:t>
      </w:r>
      <w:r>
        <w:rPr>
          <w:rFonts w:hint="eastAsia" w:ascii="宋体" w:hAnsi="宋体" w:cs="宋体"/>
          <w:snapToGrid w:val="0"/>
          <w:kern w:val="0"/>
          <w:szCs w:val="21"/>
          <w:highlight w:val="yellow"/>
          <w:lang w:val="en-US" w:eastAsia="zh-CN"/>
        </w:rPr>
        <w:t>13</w:t>
      </w:r>
      <w:r>
        <w:rPr>
          <w:rFonts w:hint="eastAsia" w:ascii="宋体" w:hAnsi="宋体" w:cs="宋体"/>
          <w:snapToGrid w:val="0"/>
          <w:kern w:val="0"/>
          <w:szCs w:val="21"/>
          <w:highlight w:val="yellow"/>
        </w:rPr>
        <w:t>日</w:t>
      </w:r>
      <w:r>
        <w:rPr>
          <w:rFonts w:hint="eastAsia" w:ascii="宋体" w:hAnsi="宋体" w:cs="宋体"/>
          <w:snapToGrid w:val="0"/>
          <w:kern w:val="0"/>
          <w:szCs w:val="21"/>
          <w:u w:val="single"/>
        </w:rPr>
        <w:t xml:space="preserve"> 1</w:t>
      </w:r>
      <w:r>
        <w:rPr>
          <w:rFonts w:hint="eastAsia" w:ascii="宋体" w:hAnsi="宋体" w:cs="宋体"/>
          <w:snapToGrid w:val="0"/>
          <w:kern w:val="0"/>
          <w:szCs w:val="21"/>
          <w:u w:val="single"/>
          <w:lang w:val="en-US" w:eastAsia="zh-CN"/>
        </w:rPr>
        <w:t>0</w:t>
      </w:r>
      <w:r>
        <w:rPr>
          <w:rFonts w:hint="eastAsia" w:ascii="宋体" w:hAnsi="宋体" w:cs="宋体"/>
          <w:snapToGrid w:val="0"/>
          <w:kern w:val="0"/>
          <w:szCs w:val="21"/>
          <w:u w:val="single"/>
        </w:rPr>
        <w:t xml:space="preserve"> </w:t>
      </w:r>
      <w:r>
        <w:rPr>
          <w:rFonts w:hint="eastAsia" w:ascii="宋体" w:hAnsi="宋体" w:cs="宋体"/>
          <w:snapToGrid w:val="0"/>
          <w:kern w:val="0"/>
          <w:szCs w:val="21"/>
        </w:rPr>
        <w:t>时</w:t>
      </w:r>
      <w:r>
        <w:rPr>
          <w:rFonts w:hint="eastAsia" w:ascii="宋体" w:hAnsi="宋体" w:cs="宋体"/>
          <w:snapToGrid w:val="0"/>
          <w:kern w:val="0"/>
          <w:szCs w:val="21"/>
          <w:u w:val="single"/>
        </w:rPr>
        <w:t xml:space="preserve"> 30 </w:t>
      </w:r>
      <w:r>
        <w:rPr>
          <w:rFonts w:hint="eastAsia" w:ascii="宋体" w:hAnsi="宋体" w:cs="宋体"/>
          <w:snapToGrid w:val="0"/>
          <w:kern w:val="0"/>
          <w:szCs w:val="21"/>
        </w:rPr>
        <w:t>分，地点为</w:t>
      </w:r>
      <w:r>
        <w:rPr>
          <w:rFonts w:hint="eastAsia" w:ascii="宋体" w:hAnsi="宋体" w:cs="宋体"/>
          <w:snapToGrid w:val="0"/>
          <w:kern w:val="0"/>
          <w:szCs w:val="21"/>
          <w:u w:val="single"/>
        </w:rPr>
        <w:t xml:space="preserve"> 中机中联工程有限公司A栋27楼项目管理部</w:t>
      </w:r>
      <w:r>
        <w:rPr>
          <w:rFonts w:hint="eastAsia" w:ascii="宋体" w:hAnsi="宋体" w:cs="宋体"/>
          <w:snapToGrid w:val="0"/>
          <w:kern w:val="0"/>
          <w:szCs w:val="21"/>
        </w:rPr>
        <w:t>。</w:t>
      </w:r>
    </w:p>
    <w:p>
      <w:pPr>
        <w:autoSpaceDE w:val="0"/>
        <w:autoSpaceDN w:val="0"/>
        <w:adjustRightInd w:val="0"/>
        <w:snapToGrid w:val="0"/>
        <w:spacing w:line="500" w:lineRule="exact"/>
        <w:ind w:firstLine="390" w:firstLineChars="186"/>
        <w:jc w:val="left"/>
        <w:rPr>
          <w:rFonts w:ascii="宋体" w:hAnsi="宋体" w:cs="宋体"/>
          <w:snapToGrid w:val="0"/>
          <w:kern w:val="0"/>
          <w:szCs w:val="21"/>
        </w:rPr>
      </w:pPr>
      <w:r>
        <w:rPr>
          <w:rFonts w:hint="eastAsia" w:ascii="宋体" w:hAnsi="宋体" w:cs="宋体"/>
          <w:snapToGrid w:val="0"/>
          <w:kern w:val="0"/>
          <w:szCs w:val="21"/>
        </w:rPr>
        <w:t>5.2逾期送达的或者未送达指定地点的投标文件，招标人不予受理。</w:t>
      </w:r>
    </w:p>
    <w:p>
      <w:pPr>
        <w:pStyle w:val="3"/>
        <w:spacing w:before="0" w:after="0" w:line="500" w:lineRule="exact"/>
        <w:rPr>
          <w:rFonts w:ascii="宋体" w:hAnsi="宋体" w:cs="宋体"/>
          <w:snapToGrid w:val="0"/>
        </w:rPr>
      </w:pPr>
      <w:bookmarkStart w:id="25" w:name="_Toc287620681"/>
      <w:bookmarkStart w:id="26" w:name="_Toc224103313"/>
      <w:bookmarkStart w:id="27" w:name="_Toc287607742"/>
      <w:bookmarkStart w:id="28" w:name="_Toc277082549"/>
      <w:r>
        <w:rPr>
          <w:rFonts w:hint="eastAsia" w:ascii="宋体" w:hAnsi="宋体" w:cs="宋体"/>
          <w:snapToGrid w:val="0"/>
        </w:rPr>
        <w:t>6.  联系方式</w:t>
      </w:r>
      <w:bookmarkEnd w:id="25"/>
      <w:bookmarkEnd w:id="26"/>
      <w:bookmarkEnd w:id="27"/>
      <w:bookmarkEnd w:id="28"/>
    </w:p>
    <w:p>
      <w:pPr>
        <w:topLinePunct/>
        <w:spacing w:line="500" w:lineRule="exact"/>
        <w:ind w:firstLine="105" w:firstLineChars="50"/>
        <w:rPr>
          <w:rFonts w:ascii="宋体" w:hAnsi="宋体" w:cs="宋体"/>
          <w:szCs w:val="21"/>
        </w:rPr>
      </w:pPr>
      <w:r>
        <w:rPr>
          <w:rFonts w:hint="eastAsia" w:ascii="宋体" w:hAnsi="宋体" w:cs="宋体"/>
          <w:szCs w:val="21"/>
        </w:rPr>
        <w:t>招 标 人：</w:t>
      </w:r>
      <w:r>
        <w:rPr>
          <w:rFonts w:hint="eastAsia" w:ascii="宋体" w:hAnsi="宋体" w:cs="宋体"/>
          <w:szCs w:val="21"/>
          <w:u w:val="single"/>
        </w:rPr>
        <w:t>中机中联工程有限公司</w:t>
      </w:r>
    </w:p>
    <w:p>
      <w:pPr>
        <w:topLinePunct/>
        <w:spacing w:line="500" w:lineRule="exact"/>
        <w:ind w:left="5250" w:leftChars="50" w:hanging="5145" w:hangingChars="2450"/>
        <w:rPr>
          <w:rFonts w:ascii="宋体" w:hAnsi="宋体" w:cs="宋体"/>
          <w:szCs w:val="21"/>
        </w:rPr>
      </w:pPr>
      <w:r>
        <w:rPr>
          <w:rFonts w:hint="eastAsia" w:ascii="宋体" w:hAnsi="宋体" w:cs="宋体"/>
          <w:szCs w:val="21"/>
        </w:rPr>
        <w:t>地    址：</w:t>
      </w:r>
      <w:r>
        <w:rPr>
          <w:rFonts w:hint="eastAsia" w:ascii="宋体" w:hAnsi="宋体" w:cs="宋体"/>
          <w:szCs w:val="21"/>
          <w:u w:val="single"/>
        </w:rPr>
        <w:t>重庆市九龙坡区渝州路17号</w:t>
      </w:r>
    </w:p>
    <w:p>
      <w:pPr>
        <w:topLinePunct/>
        <w:spacing w:line="500" w:lineRule="exact"/>
        <w:ind w:firstLine="105" w:firstLineChars="50"/>
        <w:rPr>
          <w:rFonts w:hint="eastAsia" w:ascii="宋体" w:hAnsi="宋体" w:eastAsia="宋体" w:cs="宋体"/>
          <w:lang w:val="en-US" w:eastAsia="zh-CN"/>
        </w:rPr>
      </w:pPr>
      <w:r>
        <w:rPr>
          <w:rFonts w:hint="eastAsia" w:ascii="宋体" w:hAnsi="宋体" w:cs="宋体"/>
          <w:szCs w:val="21"/>
        </w:rPr>
        <w:t>联 系 人：李翔    电    话：</w:t>
      </w:r>
      <w:r>
        <w:rPr>
          <w:rFonts w:hint="eastAsia" w:ascii="宋体" w:hAnsi="宋体" w:cs="宋体"/>
          <w:szCs w:val="21"/>
          <w:lang w:val="en-US" w:eastAsia="zh-CN"/>
        </w:rPr>
        <w:t xml:space="preserve">17783040806   </w:t>
      </w:r>
      <w:r>
        <w:rPr>
          <w:rFonts w:hint="eastAsia" w:ascii="宋体" w:hAnsi="宋体" w:cs="宋体"/>
          <w:kern w:val="0"/>
          <w:szCs w:val="21"/>
          <w:lang w:val="en-US" w:eastAsia="zh-CN"/>
        </w:rPr>
        <w:t>邮箱：153871335@qq.com</w:t>
      </w:r>
    </w:p>
    <w:p>
      <w:pPr>
        <w:spacing w:line="500" w:lineRule="exact"/>
        <w:jc w:val="right"/>
        <w:rPr>
          <w:rFonts w:ascii="宋体" w:hAnsi="宋体" w:cs="宋体"/>
          <w:szCs w:val="21"/>
        </w:rPr>
      </w:pPr>
      <w:r>
        <w:rPr>
          <w:rFonts w:hint="eastAsia" w:ascii="宋体" w:hAnsi="宋体" w:cs="宋体"/>
          <w:szCs w:val="21"/>
        </w:rPr>
        <w:t>中机中联工程有限公司</w:t>
      </w:r>
    </w:p>
    <w:p>
      <w:pPr>
        <w:topLinePunct/>
        <w:spacing w:line="500" w:lineRule="exact"/>
        <w:ind w:right="105" w:firstLine="105" w:firstLineChars="50"/>
        <w:jc w:val="right"/>
        <w:rPr>
          <w:rFonts w:ascii="宋体" w:hAnsi="宋体" w:cs="宋体"/>
          <w:b/>
          <w:sz w:val="32"/>
          <w:szCs w:val="32"/>
          <w:highlight w:val="yellow"/>
          <w:u w:val="single"/>
        </w:rPr>
      </w:pPr>
      <w:r>
        <w:rPr>
          <w:rFonts w:hint="eastAsia" w:ascii="宋体" w:hAnsi="宋体" w:cs="宋体"/>
          <w:szCs w:val="21"/>
          <w:highlight w:val="yellow"/>
        </w:rPr>
        <w:t>2018年 月 日</w:t>
      </w:r>
    </w:p>
    <w:p>
      <w:pPr>
        <w:spacing w:line="480" w:lineRule="auto"/>
        <w:rPr>
          <w:rFonts w:ascii="宋体" w:hAnsi="宋体" w:cs="宋体"/>
          <w:b/>
          <w:sz w:val="32"/>
          <w:szCs w:val="32"/>
          <w:highlight w:val="yellow"/>
        </w:rPr>
        <w:sectPr>
          <w:headerReference r:id="rId6" w:type="default"/>
          <w:footerReference r:id="rId7" w:type="default"/>
          <w:footerReference r:id="rId8" w:type="even"/>
          <w:pgSz w:w="11906" w:h="16838"/>
          <w:pgMar w:top="1418" w:right="1361" w:bottom="1418" w:left="1418" w:header="851" w:footer="992" w:gutter="0"/>
          <w:pgNumType w:start="2"/>
          <w:cols w:space="720" w:num="1"/>
          <w:docGrid w:linePitch="312" w:charSpace="0"/>
        </w:sectPr>
      </w:pPr>
    </w:p>
    <w:p>
      <w:pPr>
        <w:spacing w:line="500" w:lineRule="exact"/>
        <w:jc w:val="center"/>
        <w:rPr>
          <w:rFonts w:ascii="宋体" w:hAnsi="宋体" w:cs="宋体"/>
          <w:b/>
          <w:sz w:val="32"/>
          <w:szCs w:val="32"/>
        </w:rPr>
      </w:pPr>
      <w:bookmarkStart w:id="29" w:name="_Toc300662168"/>
      <w:bookmarkStart w:id="30" w:name="_Toc287620683"/>
      <w:bookmarkStart w:id="31" w:name="_Toc287607744"/>
      <w:bookmarkStart w:id="32" w:name="_Toc224103315"/>
      <w:r>
        <w:rPr>
          <w:rFonts w:hint="eastAsia" w:ascii="宋体" w:hAnsi="宋体" w:cs="宋体"/>
          <w:b/>
          <w:sz w:val="32"/>
          <w:szCs w:val="32"/>
        </w:rPr>
        <w:t>第二章 投标人须知</w:t>
      </w:r>
      <w:bookmarkEnd w:id="29"/>
      <w:bookmarkEnd w:id="30"/>
      <w:bookmarkEnd w:id="31"/>
      <w:bookmarkEnd w:id="32"/>
      <w:bookmarkStart w:id="33" w:name="_Toc224103316"/>
      <w:bookmarkStart w:id="34" w:name="_Toc287620684"/>
      <w:bookmarkStart w:id="35" w:name="_Toc287607745"/>
      <w:bookmarkStart w:id="36" w:name="_Toc277082551"/>
    </w:p>
    <w:p>
      <w:pPr>
        <w:spacing w:line="500" w:lineRule="exact"/>
        <w:jc w:val="center"/>
        <w:rPr>
          <w:rFonts w:ascii="宋体" w:hAnsi="宋体" w:cs="宋体"/>
          <w:b/>
          <w:sz w:val="32"/>
          <w:szCs w:val="32"/>
        </w:rPr>
      </w:pPr>
      <w:r>
        <w:rPr>
          <w:rFonts w:hint="eastAsia" w:ascii="宋体" w:hAnsi="宋体" w:cs="宋体"/>
          <w:b/>
          <w:sz w:val="32"/>
          <w:szCs w:val="32"/>
        </w:rPr>
        <w:t>投标人须知前附表</w:t>
      </w:r>
      <w:bookmarkEnd w:id="33"/>
      <w:bookmarkEnd w:id="34"/>
      <w:bookmarkEnd w:id="35"/>
      <w:bookmarkEnd w:id="36"/>
    </w:p>
    <w:p>
      <w:pPr>
        <w:pStyle w:val="21"/>
        <w:adjustRightInd w:val="0"/>
        <w:snapToGrid w:val="0"/>
        <w:spacing w:after="0" w:line="500" w:lineRule="exact"/>
        <w:ind w:firstLine="482" w:firstLineChars="200"/>
        <w:rPr>
          <w:rFonts w:ascii="宋体" w:hAnsi="宋体" w:cs="宋体"/>
          <w:bCs/>
          <w:sz w:val="24"/>
        </w:rPr>
      </w:pPr>
      <w:bookmarkStart w:id="37" w:name="_Toc387312408"/>
      <w:r>
        <w:rPr>
          <w:rFonts w:hint="eastAsia" w:ascii="宋体" w:hAnsi="宋体" w:cs="宋体"/>
          <w:b/>
          <w:bCs/>
          <w:sz w:val="24"/>
        </w:rPr>
        <w:t>投标人须知前附表</w:t>
      </w:r>
      <w:r>
        <w:rPr>
          <w:rFonts w:hint="eastAsia" w:ascii="宋体" w:hAnsi="宋体" w:cs="宋体"/>
          <w:bCs/>
          <w:sz w:val="24"/>
        </w:rPr>
        <w:t>是对《投标人须知》所对应条款的具体补充和修改，如有不一致，应以本前附表为准。</w:t>
      </w:r>
    </w:p>
    <w:bookmarkEnd w:id="37"/>
    <w:tbl>
      <w:tblPr>
        <w:tblStyle w:val="60"/>
        <w:tblW w:w="95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119"/>
        <w:gridCol w:w="7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069" w:type="dxa"/>
            <w:vAlign w:val="center"/>
          </w:tcPr>
          <w:p>
            <w:pPr>
              <w:snapToGrid w:val="0"/>
              <w:spacing w:line="360" w:lineRule="auto"/>
              <w:jc w:val="center"/>
              <w:rPr>
                <w:rFonts w:ascii="宋体" w:hAnsi="宋体" w:cs="宋体"/>
                <w:b/>
                <w:kern w:val="0"/>
                <w:szCs w:val="21"/>
              </w:rPr>
            </w:pPr>
            <w:r>
              <w:rPr>
                <w:rFonts w:hint="eastAsia" w:ascii="宋体" w:hAnsi="宋体" w:cs="宋体"/>
                <w:b/>
                <w:kern w:val="0"/>
                <w:szCs w:val="21"/>
              </w:rPr>
              <w:t>条款 号</w:t>
            </w:r>
          </w:p>
        </w:tc>
        <w:tc>
          <w:tcPr>
            <w:tcW w:w="1119" w:type="dxa"/>
            <w:vAlign w:val="center"/>
          </w:tcPr>
          <w:p>
            <w:pPr>
              <w:snapToGrid w:val="0"/>
              <w:spacing w:line="360" w:lineRule="auto"/>
              <w:jc w:val="center"/>
              <w:rPr>
                <w:rFonts w:ascii="宋体" w:hAnsi="宋体" w:cs="宋体"/>
                <w:b/>
                <w:kern w:val="0"/>
                <w:szCs w:val="21"/>
              </w:rPr>
            </w:pPr>
            <w:r>
              <w:rPr>
                <w:rFonts w:hint="eastAsia" w:ascii="宋体" w:hAnsi="宋体" w:cs="宋体"/>
                <w:b/>
                <w:kern w:val="0"/>
                <w:szCs w:val="21"/>
              </w:rPr>
              <w:t>条款名称</w:t>
            </w:r>
          </w:p>
        </w:tc>
        <w:tc>
          <w:tcPr>
            <w:tcW w:w="7375" w:type="dxa"/>
            <w:vAlign w:val="center"/>
          </w:tcPr>
          <w:p>
            <w:pPr>
              <w:snapToGrid w:val="0"/>
              <w:spacing w:line="360" w:lineRule="auto"/>
              <w:jc w:val="center"/>
              <w:rPr>
                <w:rFonts w:ascii="宋体" w:hAnsi="宋体" w:cs="宋体"/>
                <w:b/>
                <w:kern w:val="0"/>
                <w:szCs w:val="21"/>
              </w:rPr>
            </w:pPr>
            <w:r>
              <w:rPr>
                <w:rFonts w:hint="eastAsia" w:ascii="宋体" w:hAnsi="宋体" w:cs="宋体"/>
                <w:b/>
                <w:kern w:val="0"/>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9"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1.1.2</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招标人</w:t>
            </w:r>
          </w:p>
        </w:tc>
        <w:tc>
          <w:tcPr>
            <w:tcW w:w="7375" w:type="dxa"/>
            <w:vAlign w:val="center"/>
          </w:tcPr>
          <w:p>
            <w:pPr>
              <w:snapToGrid w:val="0"/>
              <w:spacing w:line="360" w:lineRule="auto"/>
              <w:rPr>
                <w:rFonts w:ascii="宋体" w:hAnsi="宋体" w:cs="宋体"/>
                <w:snapToGrid w:val="0"/>
                <w:kern w:val="0"/>
                <w:szCs w:val="21"/>
                <w:u w:val="single"/>
              </w:rPr>
            </w:pPr>
            <w:r>
              <w:rPr>
                <w:rFonts w:hint="eastAsia" w:ascii="宋体" w:hAnsi="宋体" w:cs="宋体"/>
                <w:kern w:val="0"/>
                <w:szCs w:val="21"/>
              </w:rPr>
              <w:t>名称：</w:t>
            </w:r>
            <w:r>
              <w:rPr>
                <w:rFonts w:hint="eastAsia" w:ascii="宋体" w:hAnsi="宋体" w:cs="宋体"/>
                <w:szCs w:val="21"/>
              </w:rPr>
              <w:t>中机中联工程有限公司</w:t>
            </w:r>
          </w:p>
          <w:p>
            <w:pPr>
              <w:snapToGrid w:val="0"/>
              <w:spacing w:line="360" w:lineRule="auto"/>
              <w:rPr>
                <w:rFonts w:ascii="宋体" w:hAnsi="宋体" w:cs="宋体"/>
                <w:kern w:val="0"/>
                <w:szCs w:val="21"/>
              </w:rPr>
            </w:pPr>
            <w:r>
              <w:rPr>
                <w:rFonts w:hint="eastAsia" w:ascii="宋体" w:hAnsi="宋体" w:cs="宋体"/>
                <w:kern w:val="0"/>
                <w:szCs w:val="21"/>
              </w:rPr>
              <w:t>地址：</w:t>
            </w:r>
            <w:r>
              <w:rPr>
                <w:rFonts w:hint="eastAsia" w:ascii="宋体" w:hAnsi="宋体" w:cs="宋体"/>
                <w:szCs w:val="21"/>
              </w:rPr>
              <w:t>重庆市石桥铺渝州路17号</w:t>
            </w:r>
          </w:p>
          <w:p>
            <w:pPr>
              <w:snapToGrid w:val="0"/>
              <w:spacing w:line="360" w:lineRule="auto"/>
              <w:rPr>
                <w:rFonts w:ascii="宋体" w:hAnsi="宋体" w:cs="宋体"/>
                <w:kern w:val="0"/>
                <w:szCs w:val="21"/>
              </w:rPr>
            </w:pPr>
            <w:r>
              <w:rPr>
                <w:rFonts w:hint="eastAsia" w:ascii="宋体" w:hAnsi="宋体" w:cs="宋体"/>
                <w:kern w:val="0"/>
                <w:szCs w:val="21"/>
              </w:rPr>
              <w:t>联系人：李翔、</w:t>
            </w:r>
          </w:p>
          <w:p>
            <w:pPr>
              <w:snapToGrid w:val="0"/>
              <w:spacing w:line="360" w:lineRule="auto"/>
              <w:rPr>
                <w:rFonts w:hint="eastAsia" w:ascii="宋体" w:hAnsi="宋体" w:eastAsia="宋体" w:cs="宋体"/>
                <w:kern w:val="0"/>
                <w:szCs w:val="21"/>
                <w:lang w:val="en-US" w:eastAsia="zh-CN"/>
              </w:rPr>
            </w:pPr>
            <w:r>
              <w:rPr>
                <w:rFonts w:hint="eastAsia" w:ascii="宋体" w:hAnsi="宋体" w:cs="宋体"/>
                <w:kern w:val="0"/>
                <w:szCs w:val="21"/>
              </w:rPr>
              <w:t>电话：</w:t>
            </w:r>
            <w:r>
              <w:rPr>
                <w:rFonts w:hint="eastAsia" w:ascii="宋体" w:hAnsi="宋体" w:cs="宋体"/>
                <w:kern w:val="0"/>
                <w:szCs w:val="21"/>
                <w:lang w:val="en-US" w:eastAsia="zh-CN"/>
              </w:rPr>
              <w:t>17783040806       邮箱：153871335@qq.com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1.1.4</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工程名称</w:t>
            </w:r>
          </w:p>
        </w:tc>
        <w:tc>
          <w:tcPr>
            <w:tcW w:w="7375" w:type="dxa"/>
            <w:vAlign w:val="center"/>
          </w:tcPr>
          <w:p>
            <w:pPr>
              <w:tabs>
                <w:tab w:val="left" w:pos="2580"/>
                <w:tab w:val="left" w:pos="3280"/>
                <w:tab w:val="left" w:pos="6120"/>
                <w:tab w:val="left" w:pos="7540"/>
                <w:tab w:val="left" w:pos="8320"/>
              </w:tabs>
              <w:autoSpaceDE w:val="0"/>
              <w:autoSpaceDN w:val="0"/>
              <w:adjustRightInd w:val="0"/>
              <w:snapToGrid w:val="0"/>
              <w:spacing w:line="360" w:lineRule="auto"/>
              <w:rPr>
                <w:rFonts w:ascii="宋体" w:hAnsi="宋体" w:cs="宋体"/>
                <w:szCs w:val="21"/>
              </w:rPr>
            </w:pPr>
            <w:r>
              <w:rPr>
                <w:rFonts w:hint="eastAsia" w:ascii="宋体" w:hAnsi="宋体" w:cs="宋体"/>
                <w:snapToGrid w:val="0"/>
                <w:kern w:val="0"/>
                <w:szCs w:val="21"/>
              </w:rPr>
              <w:t>西彭组团D63、D64地块厂房项目钢结构工程专业分包</w:t>
            </w:r>
            <w:r>
              <w:rPr>
                <w:rFonts w:hint="eastAsia" w:ascii="宋体" w:hAnsi="宋体" w:cs="宋体"/>
                <w:szCs w:val="21"/>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1.1.5</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建设地点</w:t>
            </w:r>
          </w:p>
        </w:tc>
        <w:tc>
          <w:tcPr>
            <w:tcW w:w="7375" w:type="dxa"/>
            <w:vAlign w:val="center"/>
          </w:tcPr>
          <w:p>
            <w:pPr>
              <w:tabs>
                <w:tab w:val="left" w:pos="2580"/>
                <w:tab w:val="left" w:pos="3280"/>
                <w:tab w:val="left" w:pos="6120"/>
                <w:tab w:val="left" w:pos="7540"/>
                <w:tab w:val="left" w:pos="8320"/>
              </w:tabs>
              <w:autoSpaceDE w:val="0"/>
              <w:autoSpaceDN w:val="0"/>
              <w:adjustRightInd w:val="0"/>
              <w:snapToGrid w:val="0"/>
              <w:spacing w:line="360" w:lineRule="auto"/>
              <w:rPr>
                <w:rFonts w:ascii="宋体" w:hAnsi="宋体" w:cs="宋体"/>
                <w:snapToGrid w:val="0"/>
                <w:kern w:val="0"/>
                <w:position w:val="-2"/>
                <w:szCs w:val="21"/>
              </w:rPr>
            </w:pPr>
            <w:r>
              <w:rPr>
                <w:rFonts w:hint="eastAsia" w:ascii="宋体" w:hAnsi="宋体" w:cs="宋体"/>
                <w:snapToGrid w:val="0"/>
                <w:kern w:val="0"/>
                <w:szCs w:val="21"/>
              </w:rPr>
              <w:t>重庆西彭组团D63、D64地块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1.2.1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资金来源</w:t>
            </w:r>
          </w:p>
        </w:tc>
        <w:tc>
          <w:tcPr>
            <w:tcW w:w="7375" w:type="dxa"/>
            <w:vAlign w:val="center"/>
          </w:tcPr>
          <w:p>
            <w:pPr>
              <w:snapToGrid w:val="0"/>
              <w:spacing w:line="360" w:lineRule="auto"/>
              <w:jc w:val="left"/>
              <w:rPr>
                <w:rFonts w:ascii="宋体" w:hAnsi="宋体" w:cs="宋体"/>
                <w:szCs w:val="21"/>
              </w:rPr>
            </w:pPr>
            <w:r>
              <w:rPr>
                <w:rFonts w:hint="eastAsia" w:ascii="宋体" w:hAnsi="宋体" w:cs="宋体"/>
                <w:kern w:val="0"/>
                <w:szCs w:val="21"/>
              </w:rPr>
              <w:t>EPC总承包工程款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4"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1.3.1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招标范围</w:t>
            </w:r>
          </w:p>
        </w:tc>
        <w:tc>
          <w:tcPr>
            <w:tcW w:w="7375" w:type="dxa"/>
            <w:vAlign w:val="center"/>
          </w:tcPr>
          <w:p>
            <w:pPr>
              <w:pStyle w:val="367"/>
              <w:spacing w:line="360" w:lineRule="auto"/>
              <w:ind w:firstLine="0" w:firstLineChars="0"/>
              <w:rPr>
                <w:rFonts w:ascii="宋体" w:hAnsi="宋体" w:cs="宋体"/>
                <w:snapToGrid w:val="0"/>
                <w:kern w:val="0"/>
                <w:sz w:val="21"/>
                <w:szCs w:val="21"/>
              </w:rPr>
            </w:pPr>
            <w:r>
              <w:rPr>
                <w:rFonts w:hint="eastAsia" w:ascii="宋体" w:hAnsi="宋体" w:cs="宋体"/>
                <w:snapToGrid w:val="0"/>
                <w:kern w:val="0"/>
                <w:sz w:val="21"/>
                <w:szCs w:val="21"/>
              </w:rPr>
              <w:t>一、建筑规模：</w:t>
            </w:r>
          </w:p>
          <w:p>
            <w:pPr>
              <w:spacing w:line="50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rPr>
              <w:t>二、招标范围：西彭组团D63、D64地块厂房项目</w:t>
            </w:r>
            <w:r>
              <w:rPr>
                <w:rFonts w:hint="eastAsia" w:ascii="宋体" w:hAnsi="宋体" w:cs="宋体"/>
                <w:snapToGrid w:val="0"/>
                <w:kern w:val="0"/>
                <w:szCs w:val="21"/>
                <w:highlight w:val="yellow"/>
                <w:u w:val="single"/>
              </w:rPr>
              <w:t>钢结构工程所有钢结构工程（不含栏杆，不含室内隔墙，），包括但不限于：地脚螺栓的预埋，主次钢构（含行车梁）的加工、制作、运输、安装，钢爬梯、钢楼梯的制作安装，内外天沟制作安装，女儿墙口铝单板幕墙的制作安装，辅房楼承钢板的制作安装，屋脊通风器的采购及安装，屋面采光窗的制作及安装，设备及管道的支架制作安装，防火防腐涂料的涂装，屋面维护系统的制作安装，墙面维护系统的制作安装，墙面屋面的收边收口等，玻璃幕墙采购、制作、安装，铝合金窗采购、安装，采购、天沟雨水斗及接入PVC水落管的钢板接口。（详见图纸）。</w:t>
            </w:r>
          </w:p>
          <w:p>
            <w:pPr>
              <w:snapToGrid w:val="0"/>
              <w:spacing w:line="360" w:lineRule="auto"/>
              <w:jc w:val="left"/>
              <w:rPr>
                <w:rFonts w:ascii="宋体" w:hAnsi="宋体" w:cs="宋体"/>
                <w:b/>
                <w:bCs/>
                <w:szCs w:val="21"/>
                <w:u w:val="single"/>
              </w:rPr>
            </w:pPr>
            <w:r>
              <w:rPr>
                <w:rFonts w:hint="eastAsia" w:ascii="宋体" w:hAnsi="宋体" w:cs="宋体"/>
                <w:b/>
                <w:bCs/>
                <w:snapToGrid w:val="0"/>
                <w:kern w:val="0"/>
                <w:szCs w:val="21"/>
                <w:u w:val="single"/>
              </w:rPr>
              <w:t>特别说明：1、钢结构的</w:t>
            </w:r>
            <w:r>
              <w:rPr>
                <w:rFonts w:hint="eastAsia" w:ascii="宋体" w:hAnsi="宋体" w:cs="宋体"/>
                <w:b/>
                <w:bCs/>
                <w:szCs w:val="21"/>
                <w:u w:val="single"/>
              </w:rPr>
              <w:t>防火涂料、防火板等由承包人报项目所在地消防主管部门，由该部门出具合格验收意见函。达到不影响整体项目消防验收的目的。</w:t>
            </w:r>
          </w:p>
          <w:p>
            <w:pPr>
              <w:spacing w:line="500" w:lineRule="exact"/>
              <w:outlineLvl w:val="1"/>
              <w:rPr>
                <w:rFonts w:ascii="宋体" w:hAnsi="宋体" w:cs="宋体"/>
                <w:szCs w:val="21"/>
              </w:rPr>
            </w:pPr>
            <w:r>
              <w:rPr>
                <w:rFonts w:hint="eastAsia" w:ascii="宋体" w:hAnsi="宋体" w:cs="宋体"/>
                <w:snapToGrid w:val="0"/>
                <w:kern w:val="0"/>
                <w:szCs w:val="21"/>
                <w:highlight w:val="yellow"/>
                <w:u w:val="single"/>
              </w:rPr>
              <w:t>（详见图纸、工程量清单及技术标准与要求）</w:t>
            </w:r>
            <w:r>
              <w:rPr>
                <w:rFonts w:hint="eastAsia" w:ascii="宋体" w:hAnsi="宋体" w:cs="宋体"/>
                <w:snapToGrid w:val="0"/>
                <w:color w:val="FF0000"/>
                <w:kern w:val="0"/>
                <w:szCs w:val="21"/>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1.3.2</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计划工期</w:t>
            </w:r>
          </w:p>
        </w:tc>
        <w:tc>
          <w:tcPr>
            <w:tcW w:w="7375" w:type="dxa"/>
            <w:vAlign w:val="center"/>
          </w:tcPr>
          <w:p>
            <w:pPr>
              <w:snapToGrid w:val="0"/>
              <w:spacing w:line="360" w:lineRule="auto"/>
              <w:rPr>
                <w:rFonts w:ascii="宋体" w:hAnsi="宋体" w:cs="宋体"/>
                <w:kern w:val="0"/>
                <w:szCs w:val="21"/>
                <w:highlight w:val="yellow"/>
              </w:rPr>
            </w:pPr>
            <w:r>
              <w:rPr>
                <w:rFonts w:hint="eastAsia" w:ascii="宋体" w:hAnsi="宋体" w:cs="宋体"/>
                <w:kern w:val="0"/>
                <w:szCs w:val="21"/>
              </w:rPr>
              <w:t>计划工期：8</w:t>
            </w:r>
            <w:r>
              <w:rPr>
                <w:rFonts w:hint="eastAsia" w:ascii="宋体" w:hAnsi="宋体" w:cs="宋体"/>
                <w:kern w:val="0"/>
                <w:szCs w:val="21"/>
                <w:highlight w:val="yellow"/>
              </w:rPr>
              <w:t>5日历天</w:t>
            </w:r>
          </w:p>
          <w:p>
            <w:pPr>
              <w:snapToGrid w:val="0"/>
              <w:spacing w:line="360" w:lineRule="auto"/>
              <w:rPr>
                <w:rFonts w:ascii="宋体" w:hAnsi="宋体" w:cs="宋体"/>
                <w:kern w:val="0"/>
                <w:szCs w:val="21"/>
              </w:rPr>
            </w:pPr>
            <w:r>
              <w:rPr>
                <w:rFonts w:hint="eastAsia" w:ascii="宋体" w:hAnsi="宋体" w:cs="宋体"/>
                <w:kern w:val="0"/>
                <w:szCs w:val="21"/>
              </w:rPr>
              <w:t>计划开工日期：2018年8月15日，以开工令为准</w:t>
            </w:r>
          </w:p>
          <w:p>
            <w:pPr>
              <w:snapToGrid w:val="0"/>
              <w:spacing w:line="360" w:lineRule="auto"/>
              <w:rPr>
                <w:szCs w:val="21"/>
              </w:rPr>
            </w:pPr>
            <w:r>
              <w:rPr>
                <w:rFonts w:hint="eastAsia" w:ascii="宋体" w:hAnsi="宋体" w:cs="宋体"/>
                <w:kern w:val="0"/>
                <w:szCs w:val="21"/>
              </w:rPr>
              <w:t>暂定2018年9月底前</w:t>
            </w:r>
            <w:r>
              <w:rPr>
                <w:rFonts w:hint="eastAsia"/>
                <w:szCs w:val="21"/>
              </w:rPr>
              <w:t>完成主体结构工程施工（达到设备安装条件）。</w:t>
            </w:r>
          </w:p>
          <w:p>
            <w:pPr>
              <w:snapToGrid w:val="0"/>
              <w:spacing w:line="360" w:lineRule="auto"/>
              <w:rPr>
                <w:rFonts w:ascii="宋体" w:hAnsi="宋体" w:cs="宋体"/>
                <w:kern w:val="0"/>
                <w:szCs w:val="21"/>
              </w:rPr>
            </w:pPr>
            <w:r>
              <w:rPr>
                <w:rFonts w:hint="eastAsia"/>
                <w:szCs w:val="21"/>
              </w:rPr>
              <w:t>2018年12月30日前完成竣工验收并移交招标人。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5"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1.3.3</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质量要求</w:t>
            </w:r>
          </w:p>
        </w:tc>
        <w:tc>
          <w:tcPr>
            <w:tcW w:w="7375" w:type="dxa"/>
            <w:vAlign w:val="center"/>
          </w:tcPr>
          <w:p>
            <w:pPr>
              <w:snapToGrid w:val="0"/>
              <w:spacing w:line="360" w:lineRule="auto"/>
              <w:rPr>
                <w:rFonts w:ascii="宋体" w:hAnsi="宋体" w:cs="宋体"/>
                <w:snapToGrid w:val="0"/>
                <w:kern w:val="0"/>
                <w:szCs w:val="21"/>
              </w:rPr>
            </w:pPr>
            <w:r>
              <w:rPr>
                <w:rFonts w:hint="eastAsia" w:ascii="宋体" w:hAnsi="宋体" w:cs="宋体"/>
                <w:snapToGrid w:val="0"/>
                <w:kern w:val="0"/>
                <w:szCs w:val="21"/>
              </w:rPr>
              <w:t>中标单位必须严格按照合同、招标文件（含答疑纪要）、投标书、施工图纸（含设计变更、图纸会审纪要、技术交底文件）等技术资料和现行的国家、本地区有关技术、施工规范、规程、质量检验评定标准以及经发包人审定的加工组织设计等文件组织施工。本工程质量必须达到合格，分部分项及整体工程验收质量不合格，中标单位应负责返修至合格，并承担由此引起的全部经济损失，影响工期的，进行相应处罚。</w:t>
            </w:r>
          </w:p>
          <w:p>
            <w:pPr>
              <w:snapToGrid w:val="0"/>
              <w:spacing w:line="360" w:lineRule="auto"/>
              <w:rPr>
                <w:rFonts w:ascii="宋体" w:hAnsi="宋体"/>
                <w:color w:val="FF0000"/>
                <w:szCs w:val="21"/>
              </w:rPr>
            </w:pPr>
            <w:r>
              <w:rPr>
                <w:rFonts w:hint="eastAsia" w:ascii="宋体" w:hAnsi="宋体"/>
                <w:color w:val="FF0000"/>
                <w:szCs w:val="21"/>
              </w:rPr>
              <w:t>注：1</w:t>
            </w:r>
            <w:r>
              <w:rPr>
                <w:rFonts w:ascii="宋体" w:hAnsi="宋体"/>
                <w:color w:val="FF0000"/>
                <w:szCs w:val="21"/>
              </w:rPr>
              <w:t>.</w:t>
            </w:r>
            <w:r>
              <w:rPr>
                <w:rFonts w:hint="eastAsia" w:ascii="宋体" w:hAnsi="宋体"/>
                <w:color w:val="FF0000"/>
                <w:szCs w:val="21"/>
              </w:rPr>
              <w:t>按重庆市市级安全文明工地标准执行。</w:t>
            </w:r>
          </w:p>
          <w:p>
            <w:pPr>
              <w:snapToGrid w:val="0"/>
              <w:spacing w:line="360" w:lineRule="auto"/>
              <w:ind w:firstLine="420"/>
              <w:rPr>
                <w:rFonts w:ascii="宋体" w:hAnsi="宋体"/>
                <w:color w:val="FF0000"/>
                <w:szCs w:val="21"/>
              </w:rPr>
            </w:pPr>
            <w:r>
              <w:rPr>
                <w:rFonts w:ascii="宋体" w:hAnsi="宋体"/>
                <w:color w:val="FF0000"/>
                <w:szCs w:val="21"/>
              </w:rPr>
              <w:t>2.</w:t>
            </w:r>
            <w:r>
              <w:rPr>
                <w:rFonts w:hint="eastAsia" w:ascii="宋体" w:hAnsi="宋体"/>
                <w:color w:val="FF0000"/>
                <w:szCs w:val="21"/>
              </w:rPr>
              <w:t>当日工作面必需当日工完场清，材料、工具分类堆码至现场指定地点。</w:t>
            </w:r>
          </w:p>
          <w:p>
            <w:pPr>
              <w:snapToGrid w:val="0"/>
              <w:spacing w:line="360" w:lineRule="auto"/>
              <w:ind w:firstLine="420"/>
              <w:rPr>
                <w:rFonts w:ascii="宋体" w:hAnsi="宋体"/>
                <w:color w:val="FF0000"/>
                <w:szCs w:val="21"/>
              </w:rPr>
            </w:pPr>
            <w:r>
              <w:rPr>
                <w:rFonts w:ascii="宋体" w:hAnsi="宋体"/>
                <w:color w:val="FF0000"/>
                <w:szCs w:val="21"/>
              </w:rPr>
              <w:t>3.</w:t>
            </w:r>
            <w:r>
              <w:rPr>
                <w:rFonts w:hint="eastAsia" w:ascii="宋体" w:hAnsi="宋体"/>
                <w:color w:val="FF0000"/>
                <w:szCs w:val="21"/>
              </w:rPr>
              <w:t>配合施工大门门前“三包”。</w:t>
            </w:r>
          </w:p>
          <w:p>
            <w:pPr>
              <w:snapToGrid w:val="0"/>
              <w:spacing w:line="360" w:lineRule="auto"/>
              <w:ind w:firstLine="420" w:firstLineChars="200"/>
              <w:rPr>
                <w:rFonts w:ascii="宋体" w:hAnsi="宋体" w:cs="宋体"/>
                <w:szCs w:val="21"/>
              </w:rPr>
            </w:pPr>
            <w:r>
              <w:rPr>
                <w:rFonts w:ascii="宋体" w:hAnsi="宋体"/>
                <w:color w:val="FF0000"/>
                <w:szCs w:val="21"/>
              </w:rPr>
              <w:t>4.</w:t>
            </w:r>
            <w:r>
              <w:rPr>
                <w:rFonts w:hint="eastAsia" w:ascii="宋体" w:hAnsi="宋体"/>
                <w:color w:val="FF0000"/>
                <w:szCs w:val="21"/>
              </w:rPr>
              <w:t>配合项目部迎接各参观检查。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1.4.1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投标人资质条件、能力和信誉</w:t>
            </w:r>
          </w:p>
        </w:tc>
        <w:tc>
          <w:tcPr>
            <w:tcW w:w="7375" w:type="dxa"/>
            <w:vAlign w:val="center"/>
          </w:tcPr>
          <w:p>
            <w:pPr>
              <w:adjustRightInd w:val="0"/>
              <w:snapToGrid w:val="0"/>
              <w:spacing w:line="360" w:lineRule="auto"/>
              <w:rPr>
                <w:rFonts w:ascii="宋体" w:hAnsi="宋体" w:cs="宋体"/>
                <w:kern w:val="0"/>
                <w:szCs w:val="21"/>
              </w:rPr>
            </w:pPr>
            <w:r>
              <w:rPr>
                <w:rFonts w:hint="eastAsia" w:ascii="宋体" w:hAnsi="宋体" w:cs="宋体"/>
                <w:kern w:val="0"/>
                <w:szCs w:val="21"/>
              </w:rPr>
              <w:t>投标人应具备以下资格条件：</w:t>
            </w:r>
          </w:p>
          <w:p>
            <w:pPr>
              <w:adjustRightInd w:val="0"/>
              <w:snapToGrid w:val="0"/>
              <w:spacing w:line="360" w:lineRule="auto"/>
              <w:rPr>
                <w:rFonts w:ascii="宋体" w:hAnsi="宋体" w:cs="宋体"/>
                <w:b/>
                <w:kern w:val="0"/>
                <w:szCs w:val="21"/>
              </w:rPr>
            </w:pPr>
            <w:r>
              <w:rPr>
                <w:rFonts w:hint="eastAsia" w:ascii="宋体" w:hAnsi="宋体" w:cs="宋体"/>
                <w:b/>
                <w:kern w:val="0"/>
                <w:szCs w:val="21"/>
              </w:rPr>
              <w:t>1.资质条件、营业执照及安全生产条件</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（1）本次招标要求投标人具备以下资质：</w:t>
            </w:r>
          </w:p>
          <w:p>
            <w:pPr>
              <w:adjustRightInd w:val="0"/>
              <w:snapToGrid w:val="0"/>
              <w:spacing w:line="360" w:lineRule="auto"/>
              <w:ind w:firstLine="420" w:firstLineChars="200"/>
              <w:rPr>
                <w:rFonts w:ascii="宋体" w:hAnsi="宋体" w:cs="宋体"/>
                <w:kern w:val="0"/>
                <w:szCs w:val="21"/>
                <w:u w:val="single"/>
              </w:rPr>
            </w:pPr>
            <w:r>
              <w:rPr>
                <w:rFonts w:hint="eastAsia" w:ascii="宋体" w:hAnsi="宋体" w:cs="宋体"/>
                <w:kern w:val="0"/>
                <w:szCs w:val="21"/>
                <w:u w:val="single"/>
              </w:rPr>
              <w:fldChar w:fldCharType="begin"/>
            </w:r>
            <w:r>
              <w:rPr>
                <w:rFonts w:hint="eastAsia" w:ascii="宋体" w:hAnsi="宋体" w:cs="宋体"/>
                <w:kern w:val="0"/>
                <w:szCs w:val="21"/>
                <w:u w:val="single"/>
              </w:rPr>
              <w:instrText xml:space="preserve">= 1 \* GB3</w:instrText>
            </w:r>
            <w:r>
              <w:rPr>
                <w:rFonts w:hint="eastAsia" w:ascii="宋体" w:hAnsi="宋体" w:cs="宋体"/>
                <w:kern w:val="0"/>
                <w:szCs w:val="21"/>
                <w:u w:val="single"/>
              </w:rPr>
              <w:fldChar w:fldCharType="separate"/>
            </w:r>
            <w:r>
              <w:rPr>
                <w:rFonts w:hint="eastAsia" w:ascii="宋体" w:hAnsi="宋体" w:cs="宋体"/>
                <w:kern w:val="0"/>
                <w:szCs w:val="21"/>
                <w:u w:val="single"/>
              </w:rPr>
              <w:t>①</w:t>
            </w:r>
            <w:r>
              <w:rPr>
                <w:rFonts w:hint="eastAsia" w:ascii="宋体" w:hAnsi="宋体" w:cs="宋体"/>
                <w:kern w:val="0"/>
                <w:szCs w:val="21"/>
              </w:rPr>
              <w:fldChar w:fldCharType="end"/>
            </w:r>
            <w:r>
              <w:rPr>
                <w:rFonts w:hint="eastAsia" w:ascii="宋体" w:hAnsi="宋体" w:cs="宋体"/>
                <w:snapToGrid w:val="0"/>
                <w:kern w:val="0"/>
                <w:szCs w:val="21"/>
                <w:u w:val="single"/>
              </w:rPr>
              <w:t>建设行政主管部门颁发的钢结构专业承包壹级以上（含壹级）资质</w:t>
            </w:r>
            <w:r>
              <w:rPr>
                <w:rFonts w:hint="eastAsia" w:ascii="宋体" w:hAnsi="宋体" w:cs="宋体"/>
                <w:kern w:val="0"/>
                <w:szCs w:val="21"/>
                <w:u w:val="single"/>
              </w:rPr>
              <w:t>。</w:t>
            </w:r>
          </w:p>
          <w:p>
            <w:pPr>
              <w:adjustRightInd w:val="0"/>
              <w:snapToGrid w:val="0"/>
              <w:spacing w:line="360" w:lineRule="auto"/>
              <w:ind w:firstLine="420" w:firstLineChars="200"/>
              <w:rPr>
                <w:rFonts w:ascii="宋体" w:hAnsi="宋体" w:cs="宋体"/>
                <w:kern w:val="0"/>
                <w:szCs w:val="21"/>
                <w:u w:val="single"/>
              </w:rPr>
            </w:pPr>
            <w:r>
              <w:rPr>
                <w:rFonts w:hint="eastAsia" w:ascii="宋体" w:hAnsi="宋体" w:cs="宋体"/>
                <w:kern w:val="0"/>
                <w:szCs w:val="21"/>
                <w:u w:val="single"/>
              </w:rPr>
              <w:fldChar w:fldCharType="begin"/>
            </w:r>
            <w:r>
              <w:rPr>
                <w:rFonts w:hint="eastAsia" w:ascii="宋体" w:hAnsi="宋体" w:cs="宋体"/>
                <w:kern w:val="0"/>
                <w:szCs w:val="21"/>
                <w:u w:val="single"/>
              </w:rPr>
              <w:instrText xml:space="preserve">= 2 \* GB3</w:instrText>
            </w:r>
            <w:r>
              <w:rPr>
                <w:rFonts w:hint="eastAsia" w:ascii="宋体" w:hAnsi="宋体" w:cs="宋体"/>
                <w:kern w:val="0"/>
                <w:szCs w:val="21"/>
                <w:u w:val="single"/>
              </w:rPr>
              <w:fldChar w:fldCharType="separate"/>
            </w:r>
            <w:r>
              <w:rPr>
                <w:rFonts w:hint="eastAsia" w:ascii="宋体" w:hAnsi="宋体" w:cs="宋体"/>
                <w:kern w:val="0"/>
                <w:szCs w:val="21"/>
                <w:u w:val="single"/>
              </w:rPr>
              <w:t>②</w:t>
            </w:r>
            <w:r>
              <w:rPr>
                <w:rFonts w:hint="eastAsia" w:ascii="宋体" w:hAnsi="宋体" w:cs="宋体"/>
                <w:kern w:val="0"/>
                <w:szCs w:val="21"/>
              </w:rPr>
              <w:fldChar w:fldCharType="end"/>
            </w:r>
            <w:r>
              <w:rPr>
                <w:rFonts w:hint="eastAsia" w:ascii="宋体" w:hAnsi="宋体" w:cs="宋体"/>
                <w:kern w:val="0"/>
                <w:szCs w:val="21"/>
                <w:u w:val="single"/>
              </w:rPr>
              <w:t>注册资本 500万元（含）人民币以上。</w:t>
            </w:r>
          </w:p>
          <w:p>
            <w:pPr>
              <w:adjustRightInd w:val="0"/>
              <w:snapToGrid w:val="0"/>
              <w:spacing w:line="360" w:lineRule="auto"/>
              <w:ind w:firstLine="420" w:firstLineChars="200"/>
              <w:rPr>
                <w:rFonts w:ascii="宋体" w:hAnsi="宋体" w:cs="宋体"/>
                <w:kern w:val="0"/>
                <w:szCs w:val="21"/>
                <w:u w:val="single"/>
              </w:rPr>
            </w:pPr>
            <w:r>
              <w:rPr>
                <w:rFonts w:hint="eastAsia" w:ascii="宋体" w:hAnsi="宋体" w:cs="宋体"/>
                <w:kern w:val="0"/>
                <w:szCs w:val="21"/>
                <w:u w:val="single"/>
              </w:rPr>
              <w:t>③一般纳税人资质证明。</w:t>
            </w:r>
          </w:p>
          <w:p>
            <w:pPr>
              <w:adjustRightInd w:val="0"/>
              <w:snapToGrid w:val="0"/>
              <w:spacing w:line="360" w:lineRule="auto"/>
              <w:ind w:firstLine="420" w:firstLineChars="200"/>
              <w:rPr>
                <w:rFonts w:ascii="宋体" w:hAnsi="宋体" w:cs="宋体"/>
                <w:kern w:val="0"/>
                <w:szCs w:val="21"/>
                <w:u w:val="single"/>
              </w:rPr>
            </w:pPr>
            <w:r>
              <w:rPr>
                <w:rFonts w:hint="eastAsia" w:ascii="宋体" w:hAnsi="宋体" w:cs="宋体"/>
                <w:kern w:val="0"/>
                <w:szCs w:val="21"/>
                <w:u w:val="single"/>
              </w:rPr>
              <w:fldChar w:fldCharType="begin"/>
            </w:r>
            <w:r>
              <w:rPr>
                <w:rFonts w:hint="eastAsia" w:ascii="宋体" w:hAnsi="宋体" w:cs="宋体"/>
                <w:kern w:val="0"/>
                <w:szCs w:val="21"/>
                <w:u w:val="single"/>
              </w:rPr>
              <w:instrText xml:space="preserve">= 4 \* GB3</w:instrText>
            </w:r>
            <w:r>
              <w:rPr>
                <w:rFonts w:hint="eastAsia" w:ascii="宋体" w:hAnsi="宋体" w:cs="宋体"/>
                <w:kern w:val="0"/>
                <w:szCs w:val="21"/>
                <w:u w:val="single"/>
              </w:rPr>
              <w:fldChar w:fldCharType="separate"/>
            </w:r>
            <w:r>
              <w:rPr>
                <w:rFonts w:hint="eastAsia" w:ascii="宋体" w:hAnsi="宋体" w:cs="宋体"/>
                <w:kern w:val="0"/>
                <w:szCs w:val="21"/>
                <w:u w:val="single"/>
              </w:rPr>
              <w:t>④</w:t>
            </w:r>
            <w:r>
              <w:rPr>
                <w:rFonts w:hint="eastAsia" w:ascii="宋体" w:hAnsi="宋体" w:cs="宋体"/>
                <w:kern w:val="0"/>
                <w:szCs w:val="21"/>
                <w:u w:val="single"/>
              </w:rPr>
              <w:fldChar w:fldCharType="end"/>
            </w:r>
            <w:r>
              <w:rPr>
                <w:rFonts w:hint="eastAsia" w:ascii="宋体" w:hAnsi="宋体" w:cs="宋体"/>
                <w:kern w:val="0"/>
                <w:szCs w:val="21"/>
                <w:u w:val="single"/>
              </w:rPr>
              <w:t>在人员、设备、资金等方面具有承担本标段施工的能力并经招标人供方资格评审合格。</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（2）具备有效的营业执照，投标申请人必须是独立法人单位，并取得有效的营业执照。（应附有效的营业执照副本的复印件，重庆市市外施工企业还应附《重庆市市外建筑施工企业入渝信息登记》复印件；</w:t>
            </w:r>
          </w:p>
          <w:p>
            <w:pPr>
              <w:adjustRightInd w:val="0"/>
              <w:snapToGrid w:val="0"/>
              <w:spacing w:line="360" w:lineRule="auto"/>
              <w:ind w:firstLine="420" w:firstLineChars="200"/>
              <w:rPr>
                <w:rFonts w:ascii="宋体" w:hAnsi="宋体" w:cs="宋体"/>
                <w:b/>
                <w:kern w:val="0"/>
                <w:szCs w:val="21"/>
              </w:rPr>
            </w:pPr>
            <w:r>
              <w:rPr>
                <w:rFonts w:hint="eastAsia" w:ascii="宋体" w:hAnsi="宋体" w:cs="宋体"/>
                <w:kern w:val="0"/>
                <w:szCs w:val="21"/>
              </w:rPr>
              <w:t>（3）具备有效的安全生产许可证，拟担任该项目经理和专职安全生产管理人员具备相应的安全生产考核合格证书（须提供有效的安全生产许可证及相应并有效的安全生产考核合格证书复印件）。</w:t>
            </w:r>
          </w:p>
          <w:p>
            <w:pPr>
              <w:autoSpaceDE w:val="0"/>
              <w:autoSpaceDN w:val="0"/>
              <w:adjustRightInd w:val="0"/>
              <w:snapToGrid w:val="0"/>
              <w:spacing w:line="360" w:lineRule="auto"/>
              <w:rPr>
                <w:rFonts w:ascii="宋体" w:hAnsi="宋体" w:cs="宋体"/>
                <w:b/>
                <w:kern w:val="0"/>
                <w:szCs w:val="21"/>
              </w:rPr>
            </w:pPr>
            <w:r>
              <w:rPr>
                <w:rFonts w:hint="eastAsia" w:ascii="宋体" w:hAnsi="宋体" w:cs="宋体"/>
                <w:b/>
                <w:kern w:val="0"/>
                <w:szCs w:val="21"/>
              </w:rPr>
              <w:t>2.业绩要求</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近3年具有</w:t>
            </w:r>
            <w:r>
              <w:rPr>
                <w:rFonts w:hint="eastAsia" w:ascii="宋体" w:hAnsi="宋体" w:cs="宋体"/>
                <w:szCs w:val="21"/>
              </w:rPr>
              <w:t>具有类似业绩项目3个</w:t>
            </w:r>
            <w:r>
              <w:rPr>
                <w:rFonts w:hint="eastAsia" w:ascii="宋体" w:hAnsi="宋体" w:cs="宋体"/>
                <w:kern w:val="0"/>
                <w:szCs w:val="21"/>
              </w:rPr>
              <w:t>。</w:t>
            </w:r>
          </w:p>
          <w:p>
            <w:pPr>
              <w:adjustRightInd w:val="0"/>
              <w:snapToGrid w:val="0"/>
              <w:spacing w:line="360" w:lineRule="auto"/>
              <w:rPr>
                <w:rFonts w:ascii="宋体" w:hAnsi="宋体" w:cs="宋体"/>
                <w:b/>
                <w:kern w:val="0"/>
                <w:szCs w:val="21"/>
              </w:rPr>
            </w:pPr>
            <w:r>
              <w:rPr>
                <w:rFonts w:hint="eastAsia" w:ascii="宋体" w:hAnsi="宋体" w:cs="宋体"/>
                <w:b/>
                <w:kern w:val="0"/>
                <w:szCs w:val="21"/>
              </w:rPr>
              <w:t>3.其他要求</w:t>
            </w:r>
          </w:p>
          <w:p>
            <w:pPr>
              <w:adjustRightInd w:val="0"/>
              <w:snapToGrid w:val="0"/>
              <w:spacing w:line="360" w:lineRule="auto"/>
              <w:rPr>
                <w:rFonts w:ascii="宋体" w:hAnsi="宋体" w:cs="宋体"/>
                <w:b/>
                <w:kern w:val="0"/>
                <w:szCs w:val="21"/>
              </w:rPr>
            </w:pPr>
            <w:r>
              <w:rPr>
                <w:rFonts w:hint="eastAsia" w:ascii="宋体" w:hAnsi="宋体" w:cs="宋体"/>
                <w:kern w:val="0"/>
                <w:szCs w:val="21"/>
              </w:rPr>
              <w:t>（1）项目经理资格要求</w:t>
            </w:r>
          </w:p>
          <w:p>
            <w:pPr>
              <w:snapToGrid w:val="0"/>
              <w:spacing w:before="120" w:beforeLines="50" w:line="300" w:lineRule="auto"/>
              <w:ind w:firstLine="315"/>
              <w:rPr>
                <w:rFonts w:ascii="宋体" w:hAnsi="宋体" w:cs="宋体"/>
                <w:szCs w:val="21"/>
              </w:rPr>
            </w:pPr>
            <w:r>
              <w:rPr>
                <w:rFonts w:hint="eastAsia" w:ascii="宋体" w:hAnsi="宋体" w:cs="宋体"/>
                <w:szCs w:val="21"/>
              </w:rPr>
              <w:t>①项目经理应具有壹级注册建造师执业资格（必须已在投标人单位注册）；</w:t>
            </w:r>
          </w:p>
          <w:p>
            <w:pPr>
              <w:snapToGrid w:val="0"/>
              <w:spacing w:line="360" w:lineRule="auto"/>
              <w:ind w:firstLine="315" w:firstLineChars="150"/>
              <w:rPr>
                <w:rFonts w:ascii="宋体" w:hAnsi="宋体" w:cs="宋体"/>
                <w:szCs w:val="21"/>
              </w:rPr>
            </w:pPr>
            <w:r>
              <w:rPr>
                <w:rFonts w:hint="eastAsia" w:ascii="宋体" w:hAnsi="宋体" w:cs="宋体"/>
                <w:szCs w:val="21"/>
              </w:rPr>
              <w:t>②项目经理应具有与本工程性质、规模、使用功能等相当的 5 年以上类似工程项目管理经验。</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(2) 项目技术负责人：</w:t>
            </w:r>
          </w:p>
          <w:p>
            <w:pPr>
              <w:snapToGrid w:val="0"/>
              <w:spacing w:line="300" w:lineRule="auto"/>
              <w:ind w:firstLine="525" w:firstLineChars="250"/>
              <w:rPr>
                <w:rFonts w:ascii="宋体" w:hAnsi="宋体" w:cs="宋体"/>
                <w:szCs w:val="21"/>
              </w:rPr>
            </w:pPr>
            <w:r>
              <w:rPr>
                <w:rFonts w:hint="eastAsia" w:ascii="宋体" w:hAnsi="宋体" w:cs="宋体"/>
                <w:szCs w:val="21"/>
              </w:rPr>
              <w:t>①应具有 高级工程师 及以上职称；</w:t>
            </w:r>
          </w:p>
          <w:p>
            <w:pPr>
              <w:adjustRightInd w:val="0"/>
              <w:snapToGrid w:val="0"/>
              <w:spacing w:line="360" w:lineRule="auto"/>
              <w:ind w:left="103" w:leftChars="49" w:right="37" w:firstLine="420" w:firstLineChars="200"/>
              <w:rPr>
                <w:rFonts w:ascii="宋体" w:hAnsi="宋体" w:cs="宋体"/>
                <w:szCs w:val="21"/>
              </w:rPr>
            </w:pPr>
            <w:r>
              <w:rPr>
                <w:rFonts w:hint="eastAsia" w:ascii="宋体" w:hAnsi="宋体" w:cs="宋体"/>
                <w:szCs w:val="21"/>
              </w:rPr>
              <w:t>②应具有与本工程性质、规模、使用功能等相当的 5 年以上类似工程项目管理经验。</w:t>
            </w:r>
          </w:p>
          <w:p>
            <w:pPr>
              <w:adjustRightInd w:val="0"/>
              <w:snapToGrid w:val="0"/>
              <w:spacing w:line="360" w:lineRule="auto"/>
              <w:ind w:left="103" w:leftChars="49" w:right="37" w:firstLine="422" w:firstLineChars="200"/>
              <w:rPr>
                <w:rFonts w:ascii="宋体" w:hAnsi="宋体" w:cs="宋体"/>
                <w:b/>
                <w:kern w:val="0"/>
                <w:szCs w:val="21"/>
              </w:rPr>
            </w:pPr>
            <w:r>
              <w:rPr>
                <w:rFonts w:hint="eastAsia" w:ascii="宋体" w:hAnsi="宋体" w:cs="宋体"/>
                <w:b/>
                <w:kern w:val="0"/>
                <w:szCs w:val="21"/>
              </w:rPr>
              <w:t>(3) 项目经理、项目技术负责人需提交3个月社保证明，否则将视为废标。</w:t>
            </w:r>
          </w:p>
          <w:p>
            <w:pPr>
              <w:adjustRightInd w:val="0"/>
              <w:snapToGrid w:val="0"/>
              <w:spacing w:line="360" w:lineRule="auto"/>
              <w:ind w:left="103" w:leftChars="49" w:right="37" w:firstLine="420" w:firstLineChars="200"/>
              <w:rPr>
                <w:rFonts w:ascii="宋体" w:hAnsi="宋体" w:cs="宋体"/>
                <w:kern w:val="0"/>
                <w:szCs w:val="21"/>
              </w:rPr>
            </w:pPr>
            <w:r>
              <w:rPr>
                <w:rFonts w:hint="eastAsia" w:ascii="宋体" w:hAnsi="宋体" w:cs="宋体"/>
                <w:kern w:val="0"/>
                <w:szCs w:val="21"/>
              </w:rPr>
              <w:t>(4)主要管理人员：</w:t>
            </w:r>
          </w:p>
          <w:p>
            <w:pPr>
              <w:adjustRightInd w:val="0"/>
              <w:snapToGrid w:val="0"/>
              <w:spacing w:line="360" w:lineRule="auto"/>
              <w:ind w:left="103" w:leftChars="49" w:right="37" w:firstLine="420" w:firstLineChars="200"/>
              <w:rPr>
                <w:rFonts w:ascii="宋体" w:hAnsi="宋体" w:cs="宋体"/>
                <w:kern w:val="0"/>
                <w:szCs w:val="21"/>
              </w:rPr>
            </w:pPr>
            <w:r>
              <w:rPr>
                <w:rFonts w:hint="eastAsia" w:ascii="宋体" w:hAnsi="宋体" w:cs="宋体"/>
                <w:szCs w:val="21"/>
              </w:rPr>
              <w:t>按《重庆市房屋建筑与市政基础设施工程现场施工从业人员配备标准》DBJ—157—2013配备相关管理人员。项目负责人1人（具有两个20000㎡及以上项目的经验），专职安全员不少于1人，质检员不少于1人，特种作业人员满足作业要求。（提供以上相应人员社保信息）</w:t>
            </w:r>
          </w:p>
          <w:p>
            <w:pPr>
              <w:adjustRightInd w:val="0"/>
              <w:snapToGrid w:val="0"/>
              <w:spacing w:line="360" w:lineRule="auto"/>
              <w:ind w:left="103" w:leftChars="49" w:right="37" w:firstLine="420" w:firstLineChars="200"/>
              <w:rPr>
                <w:rFonts w:ascii="宋体" w:hAnsi="宋体" w:cs="宋体"/>
                <w:kern w:val="0"/>
                <w:szCs w:val="21"/>
              </w:rPr>
            </w:pPr>
            <w:r>
              <w:rPr>
                <w:rFonts w:hint="eastAsia" w:ascii="宋体" w:hAnsi="宋体" w:cs="宋体"/>
                <w:kern w:val="0"/>
                <w:szCs w:val="21"/>
              </w:rPr>
              <w:t>提供其他主要人员上岗证。</w:t>
            </w:r>
          </w:p>
          <w:p>
            <w:pPr>
              <w:adjustRightInd w:val="0"/>
              <w:snapToGrid w:val="0"/>
              <w:spacing w:line="360" w:lineRule="auto"/>
              <w:ind w:left="103" w:leftChars="49" w:right="37" w:firstLine="420" w:firstLineChars="200"/>
              <w:rPr>
                <w:rFonts w:ascii="宋体" w:hAnsi="宋体" w:cs="MingLiU"/>
                <w:kern w:val="0"/>
                <w:szCs w:val="21"/>
              </w:rPr>
            </w:pPr>
            <w:r>
              <w:rPr>
                <w:rFonts w:hint="eastAsia" w:ascii="宋体" w:hAnsi="宋体" w:cs="MingLiU"/>
                <w:kern w:val="0"/>
                <w:szCs w:val="21"/>
              </w:rPr>
              <w:t>（5）外地施工企业投标：</w:t>
            </w:r>
          </w:p>
          <w:p>
            <w:pPr>
              <w:adjustRightInd w:val="0"/>
              <w:snapToGrid w:val="0"/>
              <w:spacing w:line="360" w:lineRule="auto"/>
              <w:ind w:left="103" w:leftChars="49" w:right="37" w:firstLine="420" w:firstLineChars="200"/>
              <w:rPr>
                <w:rFonts w:ascii="宋体" w:hAnsi="宋体" w:cs="宋体"/>
                <w:kern w:val="0"/>
                <w:szCs w:val="21"/>
              </w:rPr>
            </w:pPr>
            <w:r>
              <w:rPr>
                <w:rFonts w:hint="eastAsia" w:ascii="宋体" w:hAnsi="宋体" w:cs="MingLiU"/>
                <w:color w:val="000000"/>
                <w:kern w:val="0"/>
                <w:szCs w:val="21"/>
              </w:rPr>
              <w:t>按照“渝建发【2016】22号”文规定，重庆市外建筑企业在投标前必须办理好入渝信息报送，并在开标时出示分支机构入渝登记证明。拟投入本项目的项目班子人员必须是已在分支机构登记登记的人员（须提供有效的分支机构入渝登记证及登记的人员名单复印件）。</w:t>
            </w:r>
          </w:p>
          <w:p>
            <w:pPr>
              <w:snapToGrid w:val="0"/>
              <w:spacing w:line="360" w:lineRule="auto"/>
              <w:rPr>
                <w:rFonts w:ascii="宋体" w:hAnsi="宋体" w:cs="宋体"/>
                <w:b/>
              </w:rPr>
            </w:pPr>
            <w:r>
              <w:rPr>
                <w:rFonts w:hint="eastAsia" w:ascii="宋体" w:hAnsi="宋体" w:cs="宋体"/>
                <w:b/>
              </w:rPr>
              <w:t>6、投标人不得有挂靠行为，一经发现，招标人有权解除合同。</w:t>
            </w:r>
          </w:p>
          <w:p>
            <w:pPr>
              <w:snapToGrid w:val="0"/>
              <w:spacing w:line="360" w:lineRule="auto"/>
              <w:rPr>
                <w:rFonts w:ascii="宋体" w:hAnsi="宋体" w:cs="宋体"/>
                <w:b/>
                <w:kern w:val="0"/>
                <w:szCs w:val="21"/>
              </w:rPr>
            </w:pPr>
            <w:r>
              <w:rPr>
                <w:rFonts w:hint="eastAsia" w:ascii="宋体" w:hAnsi="宋体" w:cs="宋体"/>
                <w:b/>
              </w:rPr>
              <w:t>7、投标人需有全垫资能力。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1.4.2</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是否接受联合体投标</w:t>
            </w:r>
          </w:p>
        </w:tc>
        <w:tc>
          <w:tcPr>
            <w:tcW w:w="7375" w:type="dxa"/>
            <w:vAlign w:val="center"/>
          </w:tcPr>
          <w:p>
            <w:pPr>
              <w:snapToGrid w:val="0"/>
              <w:spacing w:line="360" w:lineRule="auto"/>
              <w:rPr>
                <w:rFonts w:ascii="宋体" w:hAnsi="宋体" w:cs="宋体"/>
                <w:kern w:val="0"/>
                <w:szCs w:val="21"/>
              </w:rPr>
            </w:pPr>
            <w:r>
              <w:rPr>
                <w:rFonts w:hint="eastAsia" w:ascii="宋体" w:hAnsi="宋体" w:cs="宋体"/>
                <w:kern w:val="0"/>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1.9.1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踏勘现场</w:t>
            </w:r>
          </w:p>
        </w:tc>
        <w:tc>
          <w:tcPr>
            <w:tcW w:w="7375" w:type="dxa"/>
            <w:vAlign w:val="center"/>
          </w:tcPr>
          <w:p>
            <w:pPr>
              <w:snapToGrid w:val="0"/>
              <w:spacing w:line="360" w:lineRule="auto"/>
              <w:rPr>
                <w:rFonts w:ascii="宋体" w:hAnsi="宋体" w:cs="宋体"/>
                <w:kern w:val="0"/>
                <w:szCs w:val="21"/>
              </w:rPr>
            </w:pPr>
            <w:r>
              <w:rPr>
                <w:rFonts w:hint="eastAsia" w:ascii="宋体" w:hAnsi="宋体" w:cs="宋体"/>
                <w:szCs w:val="21"/>
              </w:rPr>
              <w:t>招标人不组织踏勘现场。请各投标人自行踏勘现场，</w:t>
            </w:r>
            <w:r>
              <w:rPr>
                <w:rFonts w:hint="eastAsia" w:ascii="宋体" w:hAnsi="宋体" w:cs="宋体"/>
                <w:snapToGrid w:val="0"/>
                <w:kern w:val="0"/>
                <w:szCs w:val="21"/>
              </w:rPr>
              <w:t>以便获取投标人需自己负责的有关编制投标文件和签署合同所需的所有资料，无论投标人是否踏勘过现场，均被认为在递交投标文件之前已经踏勘现场，对本合同项目的风险和义务已经十分了解，并在其投标文件中已充分考虑了现场和环境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1.10.1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投标预备会</w:t>
            </w:r>
          </w:p>
        </w:tc>
        <w:tc>
          <w:tcPr>
            <w:tcW w:w="7375" w:type="dxa"/>
            <w:vAlign w:val="center"/>
          </w:tcPr>
          <w:p>
            <w:pPr>
              <w:snapToGrid w:val="0"/>
              <w:spacing w:line="360" w:lineRule="auto"/>
              <w:rPr>
                <w:rFonts w:ascii="宋体" w:hAnsi="宋体" w:cs="宋体"/>
                <w:kern w:val="0"/>
                <w:szCs w:val="21"/>
              </w:rPr>
            </w:pPr>
            <w:r>
              <w:rPr>
                <w:rFonts w:hint="eastAsia" w:ascii="宋体" w:hAnsi="宋体" w:cs="宋体"/>
                <w:kern w:val="0"/>
                <w:szCs w:val="21"/>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1.10.2</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投标人提出问题的截止时间</w:t>
            </w:r>
          </w:p>
        </w:tc>
        <w:tc>
          <w:tcPr>
            <w:tcW w:w="7375" w:type="dxa"/>
            <w:vAlign w:val="center"/>
          </w:tcPr>
          <w:p>
            <w:pPr>
              <w:snapToGrid w:val="0"/>
              <w:spacing w:line="360" w:lineRule="auto"/>
              <w:ind w:firstLine="525" w:firstLineChars="250"/>
              <w:rPr>
                <w:rFonts w:ascii="宋体" w:hAnsi="宋体" w:cs="宋体"/>
                <w:spacing w:val="-6"/>
                <w:szCs w:val="21"/>
              </w:rPr>
            </w:pPr>
            <w:r>
              <w:rPr>
                <w:rFonts w:hint="eastAsia" w:ascii="宋体" w:hAnsi="宋体" w:cs="宋体"/>
                <w:szCs w:val="21"/>
              </w:rPr>
              <w:t>投标人应仔细检查招标文件及设计文件的所有内容，如有残缺或文字表述不清，图纸尺寸标注不明以及存在错、碰、漏、缺、概念模糊和有可能出现歧义或理解上的偏差的内容等应由投标人于</w:t>
            </w:r>
            <w:r>
              <w:rPr>
                <w:rFonts w:hint="eastAsia" w:ascii="宋体" w:hAnsi="宋体" w:cs="宋体"/>
                <w:szCs w:val="21"/>
                <w:highlight w:val="yellow"/>
                <w:u w:val="single"/>
              </w:rPr>
              <w:t xml:space="preserve">  2018 年 月  日</w:t>
            </w:r>
            <w:r>
              <w:rPr>
                <w:rFonts w:hint="eastAsia" w:ascii="宋体" w:hAnsi="宋体" w:cs="宋体"/>
                <w:szCs w:val="21"/>
                <w:u w:val="single"/>
              </w:rPr>
              <w:t>前</w:t>
            </w:r>
            <w:r>
              <w:rPr>
                <w:rFonts w:hint="eastAsia" w:ascii="宋体" w:hAnsi="宋体" w:cs="宋体"/>
                <w:szCs w:val="21"/>
              </w:rPr>
              <w:t>书面/电子邮件提出。投标人未在规定时间内提出书面/电子邮件质疑，则视为投标人已全面确认招标文件及设计文件内容。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1.10.3</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招标人书面澄清的时间</w:t>
            </w:r>
          </w:p>
        </w:tc>
        <w:tc>
          <w:tcPr>
            <w:tcW w:w="7375" w:type="dxa"/>
            <w:vAlign w:val="center"/>
          </w:tcPr>
          <w:p>
            <w:pPr>
              <w:snapToGrid w:val="0"/>
              <w:spacing w:line="360" w:lineRule="auto"/>
              <w:ind w:firstLine="420" w:firstLineChars="200"/>
              <w:rPr>
                <w:rFonts w:ascii="宋体" w:hAnsi="宋体" w:cs="宋体"/>
                <w:szCs w:val="21"/>
              </w:rPr>
            </w:pPr>
            <w:r>
              <w:rPr>
                <w:rFonts w:hint="eastAsia" w:ascii="宋体" w:hAnsi="宋体" w:cs="宋体"/>
                <w:szCs w:val="21"/>
                <w:highlight w:val="yellow"/>
                <w:u w:val="single"/>
              </w:rPr>
              <w:t xml:space="preserve">  2018 年  月   日</w:t>
            </w:r>
            <w:r>
              <w:rPr>
                <w:rFonts w:hint="eastAsia" w:ascii="宋体" w:hAnsi="宋体" w:cs="宋体"/>
                <w:szCs w:val="21"/>
                <w:highlight w:val="yellow"/>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1.11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分包</w:t>
            </w:r>
          </w:p>
        </w:tc>
        <w:tc>
          <w:tcPr>
            <w:tcW w:w="7375" w:type="dxa"/>
            <w:vAlign w:val="center"/>
          </w:tcPr>
          <w:p>
            <w:pPr>
              <w:snapToGrid w:val="0"/>
              <w:spacing w:line="360" w:lineRule="auto"/>
              <w:rPr>
                <w:rFonts w:ascii="宋体" w:hAnsi="宋体" w:cs="宋体"/>
                <w:kern w:val="0"/>
                <w:szCs w:val="21"/>
              </w:rPr>
            </w:pPr>
            <w:r>
              <w:rPr>
                <w:rFonts w:hint="eastAsia" w:ascii="宋体" w:hAnsi="宋体" w:cs="宋体"/>
                <w:kern w:val="0"/>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69" w:type="dxa"/>
            <w:vAlign w:val="center"/>
          </w:tcPr>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1.12</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偏离</w:t>
            </w:r>
          </w:p>
        </w:tc>
        <w:tc>
          <w:tcPr>
            <w:tcW w:w="7375" w:type="dxa"/>
            <w:vAlign w:val="center"/>
          </w:tcPr>
          <w:p>
            <w:pPr>
              <w:autoSpaceDE w:val="0"/>
              <w:autoSpaceDN w:val="0"/>
              <w:adjustRightInd w:val="0"/>
              <w:snapToGrid w:val="0"/>
              <w:spacing w:line="360" w:lineRule="auto"/>
              <w:jc w:val="left"/>
              <w:rPr>
                <w:rFonts w:ascii="宋体" w:hAnsi="宋体" w:cs="宋体"/>
                <w:snapToGrid w:val="0"/>
                <w:kern w:val="0"/>
                <w:szCs w:val="21"/>
              </w:rPr>
            </w:pPr>
            <w:r>
              <w:rPr>
                <w:rFonts w:hint="eastAsia" w:ascii="宋体" w:hAnsi="宋体" w:cs="宋体"/>
                <w:snapToGrid w:val="0"/>
                <w:kern w:val="0"/>
                <w:szCs w:val="21"/>
              </w:rPr>
              <w:t>不允许投标文件偏离招标文件的要求。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2.1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构成招标文件的其他材料</w:t>
            </w:r>
          </w:p>
        </w:tc>
        <w:tc>
          <w:tcPr>
            <w:tcW w:w="7375" w:type="dxa"/>
            <w:vAlign w:val="center"/>
          </w:tcPr>
          <w:p>
            <w:pPr>
              <w:snapToGrid w:val="0"/>
              <w:spacing w:line="360" w:lineRule="auto"/>
              <w:rPr>
                <w:rFonts w:ascii="宋体" w:hAnsi="宋体" w:cs="宋体"/>
                <w:szCs w:val="21"/>
              </w:rPr>
            </w:pPr>
            <w:r>
              <w:rPr>
                <w:rFonts w:hint="eastAsia" w:ascii="宋体" w:hAnsi="宋体" w:cs="宋体"/>
                <w:szCs w:val="21"/>
              </w:rPr>
              <w:t>招标人发出的答疑及补遗书。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9"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2.2.1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投标人要求澄清招标文件的截止时间</w:t>
            </w:r>
          </w:p>
        </w:tc>
        <w:tc>
          <w:tcPr>
            <w:tcW w:w="7375"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投标人应仔细检查招标文件及设计文件的所有内容，如有残缺或文字表述不清，图纸尺寸标注不明以及存在错、碰、漏、缺、概念模糊和有可能出现歧义或理解上的偏差的内容等应由投标人于</w:t>
            </w:r>
            <w:r>
              <w:rPr>
                <w:rFonts w:hint="eastAsia" w:ascii="宋体" w:hAnsi="宋体" w:cs="宋体"/>
                <w:kern w:val="0"/>
                <w:szCs w:val="21"/>
                <w:highlight w:val="yellow"/>
                <w:u w:val="single"/>
              </w:rPr>
              <w:t xml:space="preserve">  2018 年月日前</w:t>
            </w:r>
            <w:r>
              <w:rPr>
                <w:rFonts w:hint="eastAsia" w:ascii="宋体" w:hAnsi="宋体" w:cs="宋体"/>
                <w:kern w:val="0"/>
                <w:szCs w:val="21"/>
                <w:highlight w:val="yellow"/>
              </w:rPr>
              <w:t>书</w:t>
            </w:r>
            <w:r>
              <w:rPr>
                <w:rFonts w:hint="eastAsia" w:ascii="宋体" w:hAnsi="宋体" w:cs="宋体"/>
                <w:kern w:val="0"/>
                <w:szCs w:val="21"/>
              </w:rPr>
              <w:t>面提出。投标人未在规定时间内提出书面质疑，则视为投标人已全面确认招标文件及设计文件内容。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2.2.2</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投标文件递交时间及截止时间（投标截止时间）</w:t>
            </w:r>
          </w:p>
        </w:tc>
        <w:tc>
          <w:tcPr>
            <w:tcW w:w="7375" w:type="dxa"/>
            <w:vAlign w:val="center"/>
          </w:tcPr>
          <w:p>
            <w:pPr>
              <w:snapToGrid w:val="0"/>
              <w:spacing w:line="360" w:lineRule="auto"/>
              <w:rPr>
                <w:rFonts w:ascii="宋体" w:hAnsi="宋体" w:cs="宋体"/>
                <w:kern w:val="0"/>
                <w:szCs w:val="21"/>
              </w:rPr>
            </w:pPr>
            <w:r>
              <w:rPr>
                <w:rFonts w:hint="eastAsia" w:ascii="宋体" w:hAnsi="宋体" w:cs="宋体"/>
                <w:szCs w:val="21"/>
              </w:rPr>
              <w:t>2018</w:t>
            </w:r>
            <w:r>
              <w:rPr>
                <w:rFonts w:hint="eastAsia" w:ascii="宋体" w:hAnsi="宋体" w:cs="宋体"/>
                <w:szCs w:val="21"/>
                <w:highlight w:val="yellow"/>
              </w:rPr>
              <w:t>年</w:t>
            </w:r>
            <w:r>
              <w:rPr>
                <w:rFonts w:hint="eastAsia" w:ascii="宋体" w:hAnsi="宋体" w:cs="宋体"/>
                <w:szCs w:val="21"/>
                <w:highlight w:val="yellow"/>
                <w:u w:val="single"/>
              </w:rPr>
              <w:t xml:space="preserve"> </w:t>
            </w:r>
            <w:r>
              <w:rPr>
                <w:rFonts w:hint="eastAsia" w:ascii="宋体" w:hAnsi="宋体" w:cs="宋体"/>
                <w:szCs w:val="21"/>
                <w:highlight w:val="yellow"/>
                <w:u w:val="single"/>
                <w:lang w:val="en-US" w:eastAsia="zh-CN"/>
              </w:rPr>
              <w:t>8</w:t>
            </w:r>
            <w:r>
              <w:rPr>
                <w:rFonts w:hint="eastAsia" w:ascii="宋体" w:hAnsi="宋体" w:cs="宋体"/>
                <w:szCs w:val="21"/>
                <w:highlight w:val="yellow"/>
                <w:u w:val="single"/>
              </w:rPr>
              <w:t xml:space="preserve"> </w:t>
            </w:r>
            <w:r>
              <w:rPr>
                <w:rFonts w:hint="eastAsia" w:ascii="宋体" w:hAnsi="宋体" w:cs="宋体"/>
                <w:szCs w:val="21"/>
                <w:highlight w:val="yellow"/>
              </w:rPr>
              <w:t xml:space="preserve">月  </w:t>
            </w:r>
            <w:r>
              <w:rPr>
                <w:rFonts w:hint="eastAsia" w:ascii="宋体" w:hAnsi="宋体" w:cs="宋体"/>
                <w:szCs w:val="21"/>
                <w:highlight w:val="yellow"/>
                <w:lang w:val="en-US" w:eastAsia="zh-CN"/>
              </w:rPr>
              <w:t>13</w:t>
            </w:r>
            <w:r>
              <w:rPr>
                <w:rFonts w:hint="eastAsia" w:ascii="宋体" w:hAnsi="宋体" w:cs="宋体"/>
                <w:szCs w:val="21"/>
                <w:highlight w:val="yellow"/>
                <w:u w:val="single"/>
              </w:rPr>
              <w:t xml:space="preserve">  </w:t>
            </w:r>
            <w:r>
              <w:rPr>
                <w:rFonts w:hint="eastAsia" w:ascii="宋体" w:hAnsi="宋体" w:cs="宋体"/>
                <w:szCs w:val="21"/>
                <w:highlight w:val="yellow"/>
              </w:rPr>
              <w:t>日</w:t>
            </w:r>
            <w:r>
              <w:rPr>
                <w:rFonts w:hint="eastAsia" w:ascii="宋体" w:hAnsi="宋体" w:cs="宋体"/>
                <w:szCs w:val="21"/>
                <w:highlight w:val="yellow"/>
                <w:u w:val="single"/>
              </w:rPr>
              <w:t xml:space="preserve">  1</w:t>
            </w:r>
            <w:r>
              <w:rPr>
                <w:rFonts w:hint="eastAsia" w:ascii="宋体" w:hAnsi="宋体" w:cs="宋体"/>
                <w:szCs w:val="21"/>
                <w:highlight w:val="yellow"/>
                <w:u w:val="single"/>
                <w:lang w:val="en-US" w:eastAsia="zh-CN"/>
              </w:rPr>
              <w:t>0</w:t>
            </w:r>
            <w:bookmarkStart w:id="777" w:name="_GoBack"/>
            <w:bookmarkEnd w:id="777"/>
            <w:r>
              <w:rPr>
                <w:rFonts w:hint="eastAsia" w:ascii="宋体" w:hAnsi="宋体" w:cs="宋体"/>
                <w:szCs w:val="21"/>
                <w:highlight w:val="yellow"/>
              </w:rPr>
              <w:t>时</w:t>
            </w:r>
            <w:r>
              <w:rPr>
                <w:rFonts w:hint="eastAsia" w:ascii="宋体" w:hAnsi="宋体" w:cs="宋体"/>
                <w:szCs w:val="21"/>
                <w:highlight w:val="yellow"/>
                <w:u w:val="single"/>
              </w:rPr>
              <w:t xml:space="preserve">  30 </w:t>
            </w:r>
            <w:r>
              <w:rPr>
                <w:rFonts w:hint="eastAsia" w:ascii="宋体" w:hAnsi="宋体" w:cs="宋体"/>
                <w:szCs w:val="21"/>
                <w:highlight w:val="yellow"/>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3.1.1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构成投标文件的其他材料</w:t>
            </w:r>
          </w:p>
        </w:tc>
        <w:tc>
          <w:tcPr>
            <w:tcW w:w="7375" w:type="dxa"/>
            <w:vAlign w:val="center"/>
          </w:tcPr>
          <w:p>
            <w:pPr>
              <w:snapToGrid w:val="0"/>
              <w:spacing w:line="360" w:lineRule="auto"/>
              <w:rPr>
                <w:rFonts w:ascii="宋体" w:hAnsi="宋体" w:cs="宋体"/>
                <w:szCs w:val="21"/>
              </w:rPr>
            </w:pPr>
            <w:r>
              <w:rPr>
                <w:rFonts w:hint="eastAsia" w:ascii="宋体" w:hAnsi="宋体" w:cs="宋体"/>
                <w:szCs w:val="21"/>
              </w:rPr>
              <w:t>投标人的书面澄清、说明和补正</w:t>
            </w:r>
            <w:r>
              <w:rPr>
                <w:rFonts w:hint="eastAsia" w:ascii="宋体" w:hAnsi="宋体" w:cs="宋体"/>
                <w:kern w:val="0"/>
                <w:szCs w:val="21"/>
              </w:rPr>
              <w:t>（但不得改变投标文件的实质性内容）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069" w:type="dxa"/>
            <w:tcBorders>
              <w:bottom w:val="single" w:color="auto" w:sz="4" w:space="0"/>
            </w:tcBorders>
            <w:vAlign w:val="center"/>
          </w:tcPr>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r>
              <w:rPr>
                <w:rFonts w:hint="eastAsia" w:ascii="宋体" w:hAnsi="宋体" w:cs="宋体"/>
                <w:kern w:val="0"/>
                <w:szCs w:val="21"/>
              </w:rPr>
              <w:t>3.2</w:t>
            </w: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tc>
        <w:tc>
          <w:tcPr>
            <w:tcW w:w="1119" w:type="dxa"/>
            <w:tcBorders>
              <w:bottom w:val="single" w:color="auto" w:sz="4" w:space="0"/>
            </w:tcBorders>
            <w:vAlign w:val="center"/>
          </w:tcPr>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r>
              <w:rPr>
                <w:rFonts w:hint="eastAsia" w:ascii="宋体" w:hAnsi="宋体" w:cs="宋体"/>
                <w:kern w:val="0"/>
                <w:szCs w:val="21"/>
              </w:rPr>
              <w:t>投标报价</w:t>
            </w:r>
          </w:p>
          <w:p>
            <w:pPr>
              <w:snapToGrid w:val="0"/>
              <w:spacing w:line="360" w:lineRule="auto"/>
              <w:jc w:val="center"/>
              <w:rPr>
                <w:rFonts w:ascii="宋体" w:hAnsi="宋体" w:cs="宋体"/>
                <w:kern w:val="0"/>
                <w:szCs w:val="21"/>
              </w:rPr>
            </w:pPr>
          </w:p>
          <w:p>
            <w:pPr>
              <w:snapToGrid w:val="0"/>
              <w:spacing w:line="360" w:lineRule="auto"/>
              <w:jc w:val="center"/>
              <w:rPr>
                <w:rFonts w:ascii="宋体" w:hAnsi="宋体" w:cs="宋体"/>
                <w:kern w:val="0"/>
                <w:szCs w:val="21"/>
              </w:rPr>
            </w:pPr>
          </w:p>
        </w:tc>
        <w:tc>
          <w:tcPr>
            <w:tcW w:w="7375" w:type="dxa"/>
            <w:tcBorders>
              <w:bottom w:val="single" w:color="auto" w:sz="4" w:space="0"/>
            </w:tcBorders>
          </w:tcPr>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1、本项目采用总价下浮方式：建筑工程下浮率为3.7%，其中</w:t>
            </w:r>
            <w:r>
              <w:rPr>
                <w:rFonts w:ascii="宋体" w:hAnsi="宋体" w:cs="宋体"/>
                <w:kern w:val="0"/>
                <w:szCs w:val="21"/>
              </w:rPr>
              <w:t>安全文明施工费、规费、税金不下浮。</w:t>
            </w:r>
            <w:r>
              <w:rPr>
                <w:rFonts w:hint="eastAsia" w:ascii="宋体" w:hAnsi="宋体" w:cs="宋体"/>
                <w:kern w:val="0"/>
                <w:szCs w:val="21"/>
              </w:rPr>
              <w:t>合同暂定总价为5000万元。（此金额为暂定金额，不作为办理结算依据，最终金额以办理完结算后的金额为准</w:t>
            </w:r>
            <w:r>
              <w:rPr>
                <w:rFonts w:ascii="宋体" w:hAnsi="宋体" w:cs="宋体"/>
                <w:kern w:val="0"/>
                <w:szCs w:val="21"/>
              </w:rPr>
              <w:t>）</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按上述计价原则计算出钢结构工程造价A（并经业主审定的金额），投标单位在此基础投标填报总价下浮费率B。</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工程最终结算价计算式如下:</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钢结构工程造价=A</w:t>
            </w:r>
            <w:r>
              <w:rPr>
                <w:rFonts w:ascii="宋体" w:hAnsi="宋体" w:cs="宋体"/>
                <w:kern w:val="0"/>
                <w:szCs w:val="21"/>
              </w:rPr>
              <w:t>*</w:t>
            </w:r>
            <w:r>
              <w:rPr>
                <w:rFonts w:hint="eastAsia" w:ascii="宋体" w:hAnsi="宋体" w:cs="宋体"/>
                <w:kern w:val="0"/>
                <w:szCs w:val="21"/>
              </w:rPr>
              <w:t>（1</w:t>
            </w:r>
            <w:r>
              <w:rPr>
                <w:rFonts w:ascii="宋体" w:hAnsi="宋体" w:cs="宋体"/>
                <w:kern w:val="0"/>
                <w:szCs w:val="21"/>
              </w:rPr>
              <w:t>-B</w:t>
            </w:r>
            <w:r>
              <w:rPr>
                <w:rFonts w:hint="eastAsia" w:ascii="宋体" w:hAnsi="宋体" w:cs="宋体"/>
                <w:kern w:val="0"/>
                <w:szCs w:val="21"/>
              </w:rPr>
              <w:t>）</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注：①各投标报价下浮费率不低于</w:t>
            </w:r>
            <w:r>
              <w:rPr>
                <w:rFonts w:ascii="宋体" w:hAnsi="宋体" w:cs="宋体"/>
                <w:kern w:val="0"/>
                <w:szCs w:val="21"/>
              </w:rPr>
              <w:t>1</w:t>
            </w:r>
            <w:r>
              <w:rPr>
                <w:rFonts w:hint="eastAsia" w:ascii="宋体" w:hAnsi="宋体" w:cs="宋体"/>
                <w:kern w:val="0"/>
                <w:szCs w:val="21"/>
              </w:rPr>
              <w:t>2%。</w:t>
            </w:r>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 xml:space="preserve"> </w:t>
            </w:r>
            <w:r>
              <w:rPr>
                <w:rFonts w:ascii="宋体" w:hAnsi="宋体" w:cs="宋体"/>
                <w:kern w:val="0"/>
                <w:szCs w:val="21"/>
              </w:rPr>
              <w:t xml:space="preserve">   </w:t>
            </w:r>
            <w:r>
              <w:rPr>
                <w:rFonts w:hint="eastAsia" w:ascii="宋体" w:hAnsi="宋体" w:cs="宋体"/>
                <w:kern w:val="0"/>
                <w:szCs w:val="21"/>
              </w:rPr>
              <w:t>②增值税发票分别开具，其中材料部分1</w:t>
            </w:r>
            <w:r>
              <w:rPr>
                <w:rFonts w:ascii="宋体" w:hAnsi="宋体" w:cs="宋体"/>
                <w:kern w:val="0"/>
                <w:szCs w:val="21"/>
              </w:rPr>
              <w:t>6</w:t>
            </w:r>
            <w:r>
              <w:rPr>
                <w:rFonts w:hint="eastAsia" w:ascii="宋体" w:hAnsi="宋体" w:cs="宋体"/>
                <w:kern w:val="0"/>
                <w:szCs w:val="21"/>
              </w:rPr>
              <w:t>%增值税发票占65%，安装部分1</w:t>
            </w:r>
            <w:r>
              <w:rPr>
                <w:rFonts w:ascii="宋体" w:hAnsi="宋体" w:cs="宋体"/>
                <w:kern w:val="0"/>
                <w:szCs w:val="21"/>
              </w:rPr>
              <w:t>0</w:t>
            </w:r>
            <w:r>
              <w:rPr>
                <w:rFonts w:hint="eastAsia" w:ascii="宋体" w:hAnsi="宋体" w:cs="宋体"/>
                <w:kern w:val="0"/>
                <w:szCs w:val="21"/>
              </w:rPr>
              <w:t>%增值税发票占35%。</w:t>
            </w:r>
          </w:p>
          <w:p>
            <w:pPr>
              <w:adjustRightInd w:val="0"/>
              <w:snapToGrid w:val="0"/>
              <w:spacing w:line="360" w:lineRule="auto"/>
              <w:ind w:left="283"/>
              <w:rPr>
                <w:rFonts w:ascii="仿宋" w:hAnsi="仿宋" w:eastAsia="仿宋"/>
                <w:b/>
                <w:sz w:val="24"/>
              </w:rPr>
            </w:pPr>
            <w:r>
              <w:rPr>
                <w:rFonts w:hint="eastAsia" w:ascii="仿宋" w:hAnsi="仿宋" w:eastAsia="仿宋"/>
                <w:b/>
                <w:sz w:val="24"/>
              </w:rPr>
              <w:t>按上述原则和</w:t>
            </w:r>
            <w:r>
              <w:rPr>
                <w:rFonts w:ascii="仿宋" w:hAnsi="仿宋" w:eastAsia="仿宋"/>
                <w:b/>
                <w:sz w:val="24"/>
              </w:rPr>
              <w:t>下浮比例</w:t>
            </w:r>
            <w:r>
              <w:rPr>
                <w:rFonts w:hint="eastAsia" w:ascii="仿宋" w:hAnsi="仿宋" w:eastAsia="仿宋"/>
                <w:b/>
                <w:sz w:val="24"/>
              </w:rPr>
              <w:t>计算的</w:t>
            </w:r>
            <w:r>
              <w:rPr>
                <w:rFonts w:ascii="仿宋" w:hAnsi="仿宋" w:eastAsia="仿宋"/>
                <w:b/>
                <w:sz w:val="24"/>
              </w:rPr>
              <w:t>最终</w:t>
            </w:r>
            <w:r>
              <w:rPr>
                <w:rFonts w:hint="eastAsia" w:ascii="仿宋" w:hAnsi="仿宋" w:eastAsia="仿宋"/>
                <w:b/>
                <w:sz w:val="24"/>
              </w:rPr>
              <w:t>费用包含</w:t>
            </w:r>
          </w:p>
          <w:p>
            <w:pPr>
              <w:adjustRightInd w:val="0"/>
              <w:snapToGrid w:val="0"/>
              <w:spacing w:line="360" w:lineRule="auto"/>
              <w:ind w:left="29" w:firstLine="424" w:firstLineChars="202"/>
              <w:rPr>
                <w:rFonts w:ascii="宋体" w:hAnsi="宋体" w:cs="宋体"/>
                <w:kern w:val="0"/>
                <w:szCs w:val="21"/>
              </w:rPr>
            </w:pPr>
            <w:r>
              <w:rPr>
                <w:rFonts w:hint="eastAsia" w:ascii="宋体" w:hAnsi="宋体" w:cs="宋体"/>
                <w:kern w:val="0"/>
                <w:szCs w:val="21"/>
              </w:rPr>
              <w:t>1）人工费、材料费、机械费、措施费、企业管理费、利润、风险费、安全文明施工费、资料</w:t>
            </w:r>
            <w:r>
              <w:rPr>
                <w:rFonts w:ascii="宋体" w:hAnsi="宋体" w:cs="宋体"/>
                <w:kern w:val="0"/>
                <w:szCs w:val="21"/>
              </w:rPr>
              <w:t>费、</w:t>
            </w:r>
            <w:r>
              <w:rPr>
                <w:rFonts w:hint="eastAsia" w:ascii="宋体" w:hAnsi="宋体" w:cs="宋体"/>
                <w:kern w:val="0"/>
                <w:szCs w:val="21"/>
              </w:rPr>
              <w:t>规费、税金等所有费用，配合安装墙面屋面开洞费用、图纸深化设计费、施工技术措施费（含脚手架费）、机械进出场费、二次（及多次）搬运费、材料上下车费、钢结构专项验收费等在报价人填报的下浮费率中均已考虑。</w:t>
            </w:r>
          </w:p>
          <w:p>
            <w:pPr>
              <w:adjustRightInd w:val="0"/>
              <w:snapToGrid w:val="0"/>
              <w:spacing w:line="360" w:lineRule="auto"/>
              <w:ind w:firstLine="420" w:firstLineChars="200"/>
              <w:outlineLvl w:val="0"/>
              <w:rPr>
                <w:rFonts w:ascii="宋体" w:hAnsi="宋体" w:cs="宋体"/>
                <w:kern w:val="0"/>
                <w:szCs w:val="21"/>
              </w:rPr>
            </w:pPr>
            <w:r>
              <w:rPr>
                <w:rFonts w:hint="eastAsia" w:ascii="宋体" w:hAnsi="宋体" w:cs="宋体"/>
                <w:kern w:val="0"/>
                <w:szCs w:val="21"/>
              </w:rPr>
              <w:t>2）施工期间因政府收费文件及政策调整导致费用增减，市场行情引起的材料价格变化以及汇率波动而引起的费用增减、承包人均已事先估计并列入报价之中，费率下浮值不会因上述因素变动而调整，工程竣工结算时不论工程量如何变化，费率下浮值均不作调整；</w:t>
            </w:r>
          </w:p>
          <w:p>
            <w:pPr>
              <w:adjustRightInd w:val="0"/>
              <w:snapToGrid w:val="0"/>
              <w:spacing w:line="360" w:lineRule="auto"/>
              <w:ind w:firstLine="420" w:firstLineChars="200"/>
              <w:outlineLvl w:val="0"/>
              <w:rPr>
                <w:rFonts w:ascii="宋体" w:hAnsi="宋体" w:cs="宋体"/>
                <w:kern w:val="0"/>
                <w:szCs w:val="21"/>
              </w:rPr>
            </w:pPr>
            <w:r>
              <w:rPr>
                <w:rFonts w:hint="eastAsia" w:ascii="宋体" w:hAnsi="宋体" w:cs="宋体"/>
                <w:kern w:val="0"/>
                <w:szCs w:val="21"/>
              </w:rPr>
              <w:t>3）在渝建发〔2014〕25号文中描述的安全文明施工、环境保护、临时设施等所有钢结构工程涉及到的相关费用，均按该文计算，包含各分包单位之间无法界定的垃圾清运，安全文明日常维护等费用。</w:t>
            </w:r>
          </w:p>
          <w:p>
            <w:pPr>
              <w:adjustRightInd w:val="0"/>
              <w:snapToGrid w:val="0"/>
              <w:spacing w:line="360" w:lineRule="auto"/>
              <w:ind w:left="420" w:leftChars="200"/>
              <w:jc w:val="left"/>
              <w:outlineLvl w:val="0"/>
              <w:rPr>
                <w:rFonts w:ascii="宋体" w:hAnsi="宋体" w:cs="宋体"/>
                <w:kern w:val="0"/>
                <w:szCs w:val="21"/>
              </w:rPr>
            </w:pPr>
            <w:r>
              <w:rPr>
                <w:rFonts w:hint="eastAsia" w:ascii="宋体" w:hAnsi="宋体" w:cs="宋体"/>
                <w:kern w:val="0"/>
                <w:szCs w:val="21"/>
              </w:rPr>
              <w:t xml:space="preserve">4)各分包单位的配合费在下浮费率中均已考虑；                                           </w:t>
            </w:r>
          </w:p>
          <w:p>
            <w:pPr>
              <w:adjustRightInd w:val="0"/>
              <w:snapToGrid w:val="0"/>
              <w:spacing w:line="360" w:lineRule="auto"/>
              <w:ind w:firstLine="420" w:firstLineChars="200"/>
              <w:outlineLvl w:val="0"/>
              <w:rPr>
                <w:rFonts w:ascii="宋体" w:hAnsi="宋体" w:cs="宋体"/>
                <w:kern w:val="0"/>
                <w:szCs w:val="21"/>
              </w:rPr>
            </w:pPr>
            <w:r>
              <w:rPr>
                <w:rFonts w:ascii="宋体" w:hAnsi="宋体" w:cs="宋体"/>
                <w:kern w:val="0"/>
                <w:szCs w:val="21"/>
              </w:rPr>
              <w:t>5</w:t>
            </w:r>
            <w:r>
              <w:rPr>
                <w:rFonts w:hint="eastAsia" w:ascii="宋体" w:hAnsi="宋体" w:cs="宋体"/>
                <w:kern w:val="0"/>
                <w:szCs w:val="21"/>
              </w:rPr>
              <w:t>）发包人提供的地勘及其他资料仅供参考，承包人投标时自行踏勘现场并综合考虑各种不利因素均纳入费率报价中，不得以任何理由要求调整下浮费率。</w:t>
            </w:r>
          </w:p>
          <w:p>
            <w:pPr>
              <w:adjustRightInd w:val="0"/>
              <w:snapToGrid w:val="0"/>
              <w:spacing w:line="360" w:lineRule="auto"/>
              <w:ind w:firstLine="420" w:firstLineChars="200"/>
              <w:outlineLvl w:val="0"/>
              <w:rPr>
                <w:rFonts w:ascii="宋体" w:hAnsi="宋体" w:cs="宋体"/>
                <w:kern w:val="0"/>
                <w:szCs w:val="21"/>
              </w:rPr>
            </w:pPr>
            <w:r>
              <w:rPr>
                <w:rFonts w:hint="eastAsia" w:ascii="宋体" w:hAnsi="宋体" w:cs="宋体"/>
                <w:kern w:val="0"/>
                <w:szCs w:val="21"/>
              </w:rPr>
              <w:t>7）投标人应先到工地踏勘以充分了解工地位置、地质情况、进出场道路、拆迁干扰、储存空间、装卸限制、行车干扰及任何其他足以影响承包价格的情况，任何因忽视上述情况而导致的索赔或工期延长申请将不获批准。</w:t>
            </w:r>
          </w:p>
          <w:p>
            <w:pPr>
              <w:adjustRightInd w:val="0"/>
              <w:snapToGrid w:val="0"/>
              <w:spacing w:line="360" w:lineRule="auto"/>
              <w:ind w:firstLine="420" w:firstLineChars="200"/>
              <w:outlineLvl w:val="0"/>
              <w:rPr>
                <w:rFonts w:ascii="宋体" w:hAnsi="宋体" w:cs="宋体"/>
                <w:kern w:val="0"/>
                <w:szCs w:val="21"/>
              </w:rPr>
            </w:pPr>
            <w:r>
              <w:rPr>
                <w:rFonts w:hint="eastAsia" w:ascii="宋体" w:hAnsi="宋体" w:cs="宋体"/>
                <w:kern w:val="0"/>
                <w:szCs w:val="21"/>
              </w:rPr>
              <w:t>8）投标人应先到工地踏勘以充分了解工地位置、地质情况、进出场道路、拆迁干扰、储存空间、装卸限制、行车干扰及任何其他足以影响承包价格的情况，任何因忽视上述情况而导致的索赔或工期延长申请将不获批准。</w:t>
            </w:r>
          </w:p>
          <w:p>
            <w:pPr>
              <w:pStyle w:val="393"/>
              <w:spacing w:line="400" w:lineRule="exact"/>
              <w:ind w:firstLine="0" w:firstLineChars="0"/>
              <w:rPr>
                <w:rFonts w:ascii="宋体" w:hAnsi="宋体" w:cs="宋体"/>
                <w:kern w:val="0"/>
                <w:sz w:val="21"/>
                <w:szCs w:val="21"/>
              </w:rPr>
            </w:pPr>
            <w:r>
              <w:rPr>
                <w:rFonts w:hint="eastAsia" w:ascii="宋体" w:hAnsi="宋体" w:cs="宋体"/>
                <w:kern w:val="0"/>
                <w:sz w:val="21"/>
                <w:szCs w:val="21"/>
              </w:rPr>
              <w:t>其他要求（必须满足）：</w:t>
            </w:r>
          </w:p>
          <w:p>
            <w:pPr>
              <w:pStyle w:val="393"/>
              <w:numPr>
                <w:ilvl w:val="2"/>
                <w:numId w:val="2"/>
              </w:numPr>
              <w:spacing w:line="400" w:lineRule="exact"/>
              <w:ind w:firstLineChars="0"/>
              <w:rPr>
                <w:rFonts w:ascii="宋体" w:hAnsi="宋体" w:cs="宋体"/>
                <w:kern w:val="0"/>
                <w:sz w:val="21"/>
                <w:szCs w:val="21"/>
              </w:rPr>
            </w:pPr>
            <w:r>
              <w:rPr>
                <w:rFonts w:hint="eastAsia" w:ascii="宋体" w:hAnsi="宋体" w:cs="宋体"/>
                <w:kern w:val="0"/>
                <w:sz w:val="21"/>
                <w:szCs w:val="21"/>
              </w:rPr>
              <w:t>图纸节点做法不明确时，分包单位要有补充深化设计图纸的能力。</w:t>
            </w:r>
          </w:p>
          <w:p>
            <w:pPr>
              <w:pStyle w:val="393"/>
              <w:numPr>
                <w:ilvl w:val="2"/>
                <w:numId w:val="2"/>
              </w:numPr>
              <w:spacing w:line="400" w:lineRule="exact"/>
              <w:ind w:firstLineChars="0"/>
              <w:rPr>
                <w:rFonts w:ascii="宋体" w:hAnsi="宋体" w:cs="宋体"/>
                <w:kern w:val="0"/>
                <w:sz w:val="21"/>
                <w:szCs w:val="21"/>
              </w:rPr>
            </w:pPr>
            <w:r>
              <w:rPr>
                <w:rFonts w:hint="eastAsia" w:ascii="宋体" w:hAnsi="宋体" w:cs="宋体"/>
                <w:kern w:val="0"/>
                <w:sz w:val="21"/>
                <w:szCs w:val="21"/>
              </w:rPr>
              <w:t>分包单位要有编制钢结构国标清单的能力，参与过采用</w:t>
            </w:r>
            <w:r>
              <w:rPr>
                <w:rFonts w:ascii="宋体" w:hAnsi="宋体" w:cs="宋体"/>
                <w:kern w:val="0"/>
                <w:sz w:val="21"/>
                <w:szCs w:val="21"/>
              </w:rPr>
              <w:t>08</w:t>
            </w:r>
            <w:r>
              <w:rPr>
                <w:rFonts w:hint="eastAsia" w:ascii="宋体" w:hAnsi="宋体" w:cs="宋体"/>
                <w:kern w:val="0"/>
                <w:sz w:val="21"/>
                <w:szCs w:val="21"/>
              </w:rPr>
              <w:t>定额下浮作为结算原则的类似钢结构厂房项目。</w:t>
            </w:r>
          </w:p>
          <w:p>
            <w:pPr>
              <w:adjustRightInd w:val="0"/>
              <w:snapToGrid w:val="0"/>
              <w:spacing w:line="360" w:lineRule="auto"/>
              <w:ind w:firstLine="420" w:firstLineChars="200"/>
              <w:jc w:val="left"/>
              <w:outlineLvl w:val="0"/>
              <w:rPr>
                <w:rFonts w:ascii="宋体" w:hAnsi="宋体" w:cs="宋体"/>
                <w:kern w:val="0"/>
                <w:szCs w:val="21"/>
              </w:rPr>
            </w:pPr>
            <w:r>
              <w:rPr>
                <w:rFonts w:hint="eastAsia" w:ascii="宋体" w:hAnsi="宋体" w:cs="宋体"/>
                <w:kern w:val="0"/>
                <w:szCs w:val="21"/>
              </w:rPr>
              <w:t>9）除临设道路、板房以外的所有安全文明施工费包含在报价中；安全文明施工以钢结构安装为主，包含各分包单位之间无法界定的垃圾清运，安全文明日常维护等费用。</w:t>
            </w:r>
          </w:p>
          <w:p>
            <w:pPr>
              <w:adjustRightInd w:val="0"/>
              <w:snapToGrid w:val="0"/>
              <w:spacing w:line="360" w:lineRule="auto"/>
              <w:ind w:left="420" w:leftChars="200"/>
              <w:jc w:val="left"/>
              <w:outlineLvl w:val="0"/>
              <w:rPr>
                <w:rFonts w:ascii="宋体" w:hAnsi="宋体" w:cs="宋体"/>
                <w:kern w:val="0"/>
                <w:szCs w:val="21"/>
              </w:rPr>
            </w:pPr>
            <w:r>
              <w:rPr>
                <w:rFonts w:hint="eastAsia" w:ascii="宋体" w:hAnsi="宋体" w:cs="宋体"/>
                <w:kern w:val="0"/>
                <w:szCs w:val="21"/>
              </w:rPr>
              <w:t xml:space="preserve">10）与各分包单位的配合费均包含在综合单价内；                                           </w:t>
            </w:r>
          </w:p>
          <w:p>
            <w:pPr>
              <w:adjustRightInd w:val="0"/>
              <w:snapToGrid w:val="0"/>
              <w:spacing w:line="360" w:lineRule="auto"/>
              <w:ind w:firstLine="420" w:firstLineChars="200"/>
              <w:jc w:val="left"/>
              <w:outlineLvl w:val="0"/>
              <w:rPr>
                <w:rFonts w:ascii="宋体" w:hAnsi="宋体" w:cs="宋体"/>
                <w:szCs w:val="21"/>
              </w:rPr>
            </w:pPr>
            <w:r>
              <w:rPr>
                <w:rFonts w:hint="eastAsia" w:ascii="宋体" w:hAnsi="宋体" w:cs="宋体"/>
                <w:szCs w:val="21"/>
              </w:rPr>
              <w:t>11）安全帽、反光背心、劳保鞋必须配置，由甲方统一标准，费用由乙方承担。</w:t>
            </w:r>
          </w:p>
          <w:p>
            <w:pPr>
              <w:adjustRightInd w:val="0"/>
              <w:snapToGrid w:val="0"/>
              <w:spacing w:line="360" w:lineRule="auto"/>
              <w:jc w:val="left"/>
              <w:outlineLvl w:val="0"/>
              <w:rPr>
                <w:rFonts w:ascii="宋体" w:hAnsi="宋体" w:cs="宋体"/>
                <w:szCs w:val="21"/>
              </w:rPr>
            </w:pPr>
            <w:r>
              <w:rPr>
                <w:rFonts w:hint="eastAsia" w:ascii="宋体" w:hAnsi="宋体" w:cs="宋体"/>
                <w:szCs w:val="21"/>
              </w:rPr>
              <w:t xml:space="preserve">    12）自行考虑因外部条件变化等各种不可预见因素的变化。以及工期、业主特殊要求、安全及各种原因造成损失等其他方面的所有风险和责任。</w:t>
            </w:r>
          </w:p>
          <w:p>
            <w:pPr>
              <w:adjustRightInd w:val="0"/>
              <w:snapToGrid w:val="0"/>
              <w:spacing w:line="360" w:lineRule="auto"/>
              <w:ind w:firstLine="210" w:firstLineChars="100"/>
              <w:jc w:val="left"/>
              <w:outlineLvl w:val="0"/>
              <w:rPr>
                <w:rFonts w:ascii="宋体" w:hAnsi="宋体" w:cs="宋体"/>
                <w:szCs w:val="21"/>
              </w:rPr>
            </w:pPr>
            <w:r>
              <w:rPr>
                <w:rFonts w:hint="eastAsia" w:ascii="宋体" w:hAnsi="宋体" w:cs="宋体"/>
                <w:szCs w:val="21"/>
              </w:rPr>
              <w:t xml:space="preserve"> 13）发包人不提供食宿，食宿由承包人自行承担。</w:t>
            </w:r>
          </w:p>
          <w:p>
            <w:pPr>
              <w:pStyle w:val="21"/>
              <w:spacing w:line="360" w:lineRule="auto"/>
              <w:rPr>
                <w:rFonts w:ascii="宋体" w:hAnsi="宋体" w:cs="宋体"/>
                <w:szCs w:val="21"/>
              </w:rPr>
            </w:pPr>
            <w:r>
              <w:rPr>
                <w:rFonts w:hint="eastAsia" w:ascii="宋体" w:hAnsi="宋体" w:cs="宋体"/>
                <w:szCs w:val="21"/>
              </w:rPr>
              <w:t xml:space="preserve">   14）电源：甲方根据现场实际情况提供二级配电箱前供电设施，其后设施设备由乙方负责，电费由乙方按实承担，相关费用包含在全费用综合单价中。</w:t>
            </w:r>
          </w:p>
          <w:p>
            <w:pPr>
              <w:pStyle w:val="21"/>
              <w:spacing w:line="360" w:lineRule="auto"/>
              <w:rPr>
                <w:rFonts w:ascii="宋体" w:hAnsi="宋体" w:cs="宋体"/>
                <w:szCs w:val="21"/>
              </w:rPr>
            </w:pPr>
            <w:r>
              <w:rPr>
                <w:rFonts w:hint="eastAsia" w:ascii="宋体" w:hAnsi="宋体" w:cs="宋体"/>
                <w:szCs w:val="21"/>
              </w:rPr>
              <w:t xml:space="preserve">  15）水源：由甲方负责取水、用水管理，水费由乙方按实承担，相关费用包含在全费用综合单价中。 </w:t>
            </w:r>
          </w:p>
          <w:p>
            <w:pPr>
              <w:adjustRightInd w:val="0"/>
              <w:snapToGrid w:val="0"/>
              <w:spacing w:line="360" w:lineRule="auto"/>
              <w:ind w:firstLine="105" w:firstLineChars="50"/>
              <w:rPr>
                <w:rFonts w:ascii="宋体" w:hAnsi="宋体" w:cs="宋体"/>
                <w:szCs w:val="21"/>
              </w:rPr>
            </w:pPr>
            <w:r>
              <w:rPr>
                <w:rFonts w:hint="eastAsia" w:ascii="宋体" w:hAnsi="宋体" w:cs="宋体"/>
                <w:szCs w:val="21"/>
              </w:rPr>
              <w:t xml:space="preserve"> 2、计价规范及原则：</w:t>
            </w:r>
          </w:p>
          <w:p>
            <w:pPr>
              <w:autoSpaceDE w:val="0"/>
              <w:autoSpaceDN w:val="0"/>
              <w:adjustRightInd w:val="0"/>
              <w:spacing w:before="73" w:line="360" w:lineRule="auto"/>
              <w:ind w:right="-23" w:firstLine="405"/>
              <w:jc w:val="left"/>
              <w:rPr>
                <w:szCs w:val="21"/>
              </w:rPr>
            </w:pPr>
            <w:r>
              <w:rPr>
                <w:rFonts w:hint="eastAsia"/>
                <w:szCs w:val="21"/>
              </w:rPr>
              <w:t>（1）根据施工设计图纸、地勘报告、国家技术和经济规范及标准、《建设工程工程量清单计价规范》（GB50500-2013）、《重庆市建设工程工程量清单计价规则》（CQJJGZ-2013）、《市政工程工程量计算规范》（GB50857-2013）、《重庆市建设工程工程量计算规则》（CQJLGZ-2013）、《重庆市城乡建设委员会关于建筑业营业税改征增值税调整建设工程计价依据的通知》（渝建发【2016】35号）、《重庆市市政工程计价定额》(CQSZDE 2008）、《重庆市建筑工程计价定额》（CQJZDE-2008）、《重庆市安装工程计价定额》（CQAZDE-2008）、《重庆市建设工程费用定额》CQFYDE-2008）、《混凝土及砂浆配合比表、施工机械台班定额》（CQPSDE-2008）以及相关配套文件为依据。工程建安费应包括完成招标范围内工程项目的直接费、间接费、人工费、材料费、机械费、利润、安全文明施工费、税金、措施费(含组织措施费和技术措施费)、风险费、运输费、管理费等应由招标人支付的其他费用及本招标文件明示由中标人(承包人)自行承担的费用，以及本招标文件中明示或暗示的风险、责任、义务及相应的费用。</w:t>
            </w:r>
          </w:p>
          <w:p>
            <w:pPr>
              <w:autoSpaceDE w:val="0"/>
              <w:autoSpaceDN w:val="0"/>
              <w:adjustRightInd w:val="0"/>
              <w:spacing w:before="73" w:line="360" w:lineRule="auto"/>
              <w:ind w:right="-23" w:firstLine="405"/>
              <w:jc w:val="left"/>
              <w:rPr>
                <w:szCs w:val="21"/>
              </w:rPr>
            </w:pPr>
            <w:r>
              <w:rPr>
                <w:rFonts w:hint="eastAsia"/>
                <w:szCs w:val="21"/>
              </w:rPr>
              <w:t>（2）安全文明施工费：</w:t>
            </w:r>
          </w:p>
          <w:p>
            <w:pPr>
              <w:autoSpaceDE w:val="0"/>
              <w:autoSpaceDN w:val="0"/>
              <w:adjustRightInd w:val="0"/>
              <w:spacing w:before="73" w:line="360" w:lineRule="auto"/>
              <w:ind w:right="-23" w:firstLine="405"/>
              <w:jc w:val="left"/>
              <w:rPr>
                <w:szCs w:val="21"/>
              </w:rPr>
            </w:pPr>
            <w:r>
              <w:rPr>
                <w:rFonts w:hint="eastAsia"/>
                <w:szCs w:val="21"/>
              </w:rPr>
              <w:t xml:space="preserve">①根据《关于印发&lt;重庆市建设工程安全文明施工费计取及使用管理规定&gt;的通知》（渝建发[2014]25号）规定，安全文明施工费由安全施工费、文明施工费、环境保护费及临时设施费组成。 </w:t>
            </w:r>
          </w:p>
          <w:p>
            <w:pPr>
              <w:autoSpaceDE w:val="0"/>
              <w:autoSpaceDN w:val="0"/>
              <w:adjustRightInd w:val="0"/>
              <w:spacing w:before="73" w:line="360" w:lineRule="auto"/>
              <w:ind w:right="-23" w:firstLine="405"/>
              <w:jc w:val="left"/>
              <w:rPr>
                <w:szCs w:val="21"/>
              </w:rPr>
            </w:pPr>
            <w:r>
              <w:rPr>
                <w:rFonts w:hint="eastAsia"/>
                <w:szCs w:val="21"/>
              </w:rPr>
              <w:t>②本工程安全文明施工费由招标人根据《建设工程工程量清单计价规范》（GB50500-2013)、《重庆市建设工程工程量清单计价规则》（CQJJGZ-2013)、《关于印发&lt;重庆市建设工程安全文明施工费计取及使用管理规定&gt;的通知》（渝建发[2014]25号）、《关于调整工程费用计算程序及工程计价表格的通知》（渝建价发[2014]6号）及“《重庆市城乡建设委员会关于建筑业营业税改征增值税调整建设工程计价依据的通知》（渝建发【2016】35号）”文件的通知之标准的相关规定和费用标准单列计算。</w:t>
            </w:r>
          </w:p>
          <w:p>
            <w:pPr>
              <w:autoSpaceDE w:val="0"/>
              <w:autoSpaceDN w:val="0"/>
              <w:adjustRightInd w:val="0"/>
              <w:spacing w:before="73" w:line="360" w:lineRule="auto"/>
              <w:ind w:right="-23" w:firstLine="405"/>
              <w:jc w:val="left"/>
              <w:rPr>
                <w:szCs w:val="21"/>
              </w:rPr>
            </w:pPr>
            <w:r>
              <w:rPr>
                <w:rFonts w:hint="eastAsia"/>
                <w:szCs w:val="21"/>
              </w:rPr>
              <w:t>（3）材料、设备采购及价格</w:t>
            </w:r>
          </w:p>
          <w:p>
            <w:pPr>
              <w:autoSpaceDE w:val="0"/>
              <w:autoSpaceDN w:val="0"/>
              <w:adjustRightInd w:val="0"/>
              <w:spacing w:before="73" w:line="360" w:lineRule="auto"/>
              <w:ind w:right="-23" w:firstLine="405"/>
              <w:jc w:val="left"/>
              <w:rPr>
                <w:szCs w:val="21"/>
              </w:rPr>
            </w:pPr>
            <w:r>
              <w:rPr>
                <w:rFonts w:hint="eastAsia"/>
                <w:szCs w:val="21"/>
              </w:rPr>
              <w:t>① 本工程所需的材料、设备价以重庆市建设工程造价总站主办的《重庆工程造价信息》</w:t>
            </w:r>
            <w:r>
              <w:rPr>
                <w:rFonts w:hint="eastAsia" w:ascii="宋体" w:hAnsi="宋体"/>
                <w:kern w:val="0"/>
                <w:szCs w:val="21"/>
              </w:rPr>
              <w:t>施工图审图完后的上一月</w:t>
            </w:r>
            <w:r>
              <w:rPr>
                <w:rFonts w:hint="eastAsia"/>
                <w:szCs w:val="21"/>
              </w:rPr>
              <w:t>公布的指导价结合市场行情执行。</w:t>
            </w:r>
          </w:p>
          <w:p>
            <w:pPr>
              <w:autoSpaceDE w:val="0"/>
              <w:autoSpaceDN w:val="0"/>
              <w:adjustRightInd w:val="0"/>
              <w:spacing w:before="73" w:line="360" w:lineRule="auto"/>
              <w:ind w:right="-23" w:firstLine="405"/>
              <w:jc w:val="left"/>
              <w:rPr>
                <w:szCs w:val="21"/>
              </w:rPr>
            </w:pPr>
            <w:r>
              <w:rPr>
                <w:rFonts w:hint="eastAsia"/>
                <w:szCs w:val="21"/>
              </w:rPr>
              <w:t>②本工程所需材料、设备由中标人自行采购，但所采购的材料必须符合国家规范标准及设计文件要求。材料、设备采购前中标人应将所采购材料、设备的厂家、技术参数、品牌、质量等级等指标以书面形式通知招标人，招标人收到中标人的书面报告后予认质、封样后中标人方可采购进场。</w:t>
            </w:r>
          </w:p>
          <w:p>
            <w:pPr>
              <w:autoSpaceDE w:val="0"/>
              <w:autoSpaceDN w:val="0"/>
              <w:adjustRightInd w:val="0"/>
              <w:spacing w:before="73" w:line="360" w:lineRule="auto"/>
              <w:ind w:right="-23" w:firstLine="405"/>
              <w:jc w:val="left"/>
              <w:rPr>
                <w:szCs w:val="21"/>
              </w:rPr>
            </w:pPr>
            <w:r>
              <w:rPr>
                <w:rFonts w:hint="eastAsia"/>
                <w:szCs w:val="21"/>
              </w:rPr>
              <w:t>（4）人工价格：</w:t>
            </w:r>
          </w:p>
          <w:p>
            <w:pPr>
              <w:autoSpaceDE w:val="0"/>
              <w:autoSpaceDN w:val="0"/>
              <w:adjustRightInd w:val="0"/>
              <w:spacing w:before="73" w:line="360" w:lineRule="auto"/>
              <w:ind w:right="-23" w:firstLine="405"/>
              <w:jc w:val="left"/>
              <w:rPr>
                <w:szCs w:val="21"/>
              </w:rPr>
            </w:pPr>
            <w:r>
              <w:rPr>
                <w:rFonts w:hint="eastAsia"/>
                <w:szCs w:val="21"/>
              </w:rPr>
              <w:t>本工程人工单价按重庆市建设工程造价总站主办的《重庆工程造价信息》</w:t>
            </w:r>
            <w:r>
              <w:rPr>
                <w:rFonts w:hint="eastAsia" w:ascii="宋体" w:hAnsi="宋体"/>
                <w:kern w:val="0"/>
                <w:szCs w:val="21"/>
              </w:rPr>
              <w:t>施工图审图完后的当季</w:t>
            </w:r>
            <w:r>
              <w:rPr>
                <w:rFonts w:hint="eastAsia"/>
                <w:szCs w:val="21"/>
              </w:rPr>
              <w:t>公布的人工指导价结合市场行情执行，最终以财政部门审定为准。</w:t>
            </w:r>
          </w:p>
          <w:p>
            <w:pPr>
              <w:autoSpaceDE w:val="0"/>
              <w:autoSpaceDN w:val="0"/>
              <w:adjustRightInd w:val="0"/>
              <w:spacing w:before="73" w:line="360" w:lineRule="auto"/>
              <w:ind w:right="-23" w:firstLine="405"/>
              <w:jc w:val="left"/>
              <w:rPr>
                <w:szCs w:val="21"/>
              </w:rPr>
            </w:pPr>
            <w:r>
              <w:rPr>
                <w:rFonts w:hint="eastAsia"/>
                <w:szCs w:val="21"/>
              </w:rPr>
              <w:t>（5）措施费</w:t>
            </w:r>
          </w:p>
          <w:p>
            <w:pPr>
              <w:autoSpaceDE w:val="0"/>
              <w:autoSpaceDN w:val="0"/>
              <w:adjustRightInd w:val="0"/>
              <w:spacing w:before="73" w:line="360" w:lineRule="auto"/>
              <w:ind w:right="-23" w:firstLine="405"/>
              <w:jc w:val="left"/>
              <w:rPr>
                <w:szCs w:val="21"/>
              </w:rPr>
            </w:pPr>
            <w:r>
              <w:rPr>
                <w:rFonts w:hint="eastAsia"/>
                <w:szCs w:val="21"/>
              </w:rPr>
              <w:t>本工程措施费包含但不限于以下内容，均包含在投标报价中：</w:t>
            </w:r>
          </w:p>
          <w:p>
            <w:pPr>
              <w:autoSpaceDE w:val="0"/>
              <w:autoSpaceDN w:val="0"/>
              <w:adjustRightInd w:val="0"/>
              <w:spacing w:before="73" w:line="360" w:lineRule="auto"/>
              <w:ind w:right="-23" w:firstLine="405"/>
              <w:jc w:val="left"/>
              <w:rPr>
                <w:szCs w:val="21"/>
              </w:rPr>
            </w:pPr>
            <w:r>
              <w:rPr>
                <w:rFonts w:hint="eastAsia"/>
                <w:szCs w:val="21"/>
              </w:rPr>
              <w:t>①投标人应根据施工场地道路交通状况及交管部门要求编制交通组织方案，并且承担交通组织所涉及的一切工作（包括但不限于维持交通秩序）费用。</w:t>
            </w:r>
          </w:p>
          <w:p>
            <w:pPr>
              <w:autoSpaceDE w:val="0"/>
              <w:autoSpaceDN w:val="0"/>
              <w:adjustRightInd w:val="0"/>
              <w:spacing w:before="73" w:line="360" w:lineRule="auto"/>
              <w:ind w:right="-23" w:firstLine="405"/>
              <w:jc w:val="left"/>
              <w:rPr>
                <w:szCs w:val="21"/>
              </w:rPr>
            </w:pPr>
            <w:r>
              <w:rPr>
                <w:rFonts w:hint="eastAsia"/>
                <w:szCs w:val="21"/>
              </w:rPr>
              <w:t>②为完成本工程并经相关部门验收合格所需的一切检验试验费用（包含特殊检验试验费）。</w:t>
            </w:r>
          </w:p>
          <w:p>
            <w:pPr>
              <w:autoSpaceDE w:val="0"/>
              <w:autoSpaceDN w:val="0"/>
              <w:adjustRightInd w:val="0"/>
              <w:spacing w:before="73" w:line="360" w:lineRule="auto"/>
              <w:ind w:right="-23" w:firstLine="405"/>
              <w:jc w:val="left"/>
              <w:rPr>
                <w:szCs w:val="21"/>
              </w:rPr>
            </w:pPr>
            <w:r>
              <w:rPr>
                <w:rFonts w:hint="eastAsia"/>
                <w:szCs w:val="21"/>
              </w:rPr>
              <w:t>注：该项目所需的一切检验试验（包含特殊检验试验）工作由招标人与各检测单位签订合同，所有费用由中标人支付。</w:t>
            </w:r>
          </w:p>
          <w:p>
            <w:pPr>
              <w:autoSpaceDE w:val="0"/>
              <w:autoSpaceDN w:val="0"/>
              <w:adjustRightInd w:val="0"/>
              <w:spacing w:before="73" w:line="360" w:lineRule="auto"/>
              <w:ind w:right="-23" w:firstLine="405"/>
              <w:jc w:val="left"/>
              <w:rPr>
                <w:szCs w:val="21"/>
              </w:rPr>
            </w:pPr>
            <w:r>
              <w:rPr>
                <w:rFonts w:hint="eastAsia"/>
                <w:szCs w:val="21"/>
              </w:rPr>
              <w:t>③对招标人另行发包的其他工程配合施工所产生的费用。</w:t>
            </w:r>
          </w:p>
          <w:p>
            <w:pPr>
              <w:autoSpaceDE w:val="0"/>
              <w:autoSpaceDN w:val="0"/>
              <w:adjustRightInd w:val="0"/>
              <w:spacing w:before="73" w:line="360" w:lineRule="auto"/>
              <w:ind w:right="-23" w:firstLine="405"/>
              <w:jc w:val="left"/>
              <w:rPr>
                <w:szCs w:val="21"/>
              </w:rPr>
            </w:pPr>
            <w:r>
              <w:rPr>
                <w:rFonts w:hint="eastAsia"/>
                <w:szCs w:val="21"/>
              </w:rPr>
              <w:t>④现场施工涉及到的一切工作协调费用，包括但不限于协调规划、交通、市政、园林绿化、水、电、气、通讯等各部门和周边群众的一切费用。</w:t>
            </w:r>
          </w:p>
          <w:p>
            <w:pPr>
              <w:autoSpaceDE w:val="0"/>
              <w:autoSpaceDN w:val="0"/>
              <w:adjustRightInd w:val="0"/>
              <w:spacing w:before="73" w:line="360" w:lineRule="auto"/>
              <w:ind w:right="-23" w:firstLine="405"/>
              <w:jc w:val="left"/>
              <w:rPr>
                <w:szCs w:val="21"/>
              </w:rPr>
            </w:pPr>
            <w:r>
              <w:rPr>
                <w:rFonts w:hint="eastAsia"/>
                <w:szCs w:val="21"/>
              </w:rPr>
              <w:t>（6）经招标人确认的三通一平、水电气接入口等费用。</w:t>
            </w:r>
          </w:p>
          <w:p>
            <w:pPr>
              <w:autoSpaceDE w:val="0"/>
              <w:autoSpaceDN w:val="0"/>
              <w:adjustRightInd w:val="0"/>
              <w:spacing w:before="73" w:line="360" w:lineRule="auto"/>
              <w:ind w:right="-23" w:firstLine="405"/>
              <w:jc w:val="left"/>
              <w:rPr>
                <w:szCs w:val="21"/>
              </w:rPr>
            </w:pPr>
            <w:r>
              <w:rPr>
                <w:rFonts w:hint="eastAsia"/>
                <w:szCs w:val="21"/>
              </w:rPr>
              <w:t>（7）本项目竣工档案编制费按照《重庆市城乡建设委员会关于调整建设工程竣工档案编制费计取标准与计算方法的通知》（渝建发【2014】26号）执行。</w:t>
            </w:r>
          </w:p>
          <w:p>
            <w:pPr>
              <w:autoSpaceDE w:val="0"/>
              <w:autoSpaceDN w:val="0"/>
              <w:adjustRightInd w:val="0"/>
              <w:spacing w:before="73" w:line="360" w:lineRule="auto"/>
              <w:ind w:right="-23" w:firstLine="405"/>
              <w:jc w:val="left"/>
              <w:rPr>
                <w:szCs w:val="21"/>
              </w:rPr>
            </w:pPr>
            <w:r>
              <w:rPr>
                <w:rFonts w:hint="eastAsia"/>
                <w:szCs w:val="21"/>
              </w:rPr>
              <w:t>（8）本项目企业管理费和组织措施费按照《重庆市城乡建设委员会关于调整企业管理费和组织措施费内容及费用标准的通知》（渝建发</w:t>
            </w:r>
          </w:p>
          <w:p>
            <w:pPr>
              <w:autoSpaceDE w:val="0"/>
              <w:autoSpaceDN w:val="0"/>
              <w:adjustRightInd w:val="0"/>
              <w:spacing w:before="73" w:line="360" w:lineRule="auto"/>
              <w:ind w:right="-23"/>
              <w:jc w:val="left"/>
              <w:rPr>
                <w:szCs w:val="21"/>
              </w:rPr>
            </w:pPr>
            <w:r>
              <w:rPr>
                <w:rFonts w:hint="eastAsia"/>
                <w:szCs w:val="21"/>
              </w:rPr>
              <w:t>【2014】27号）和《重庆市城乡建设委员会关于建筑业营业税改征增值税调整建设工程计价依据的通知》（渝建发【2016】35号）执行。</w:t>
            </w:r>
          </w:p>
          <w:p>
            <w:pPr>
              <w:autoSpaceDE w:val="0"/>
              <w:autoSpaceDN w:val="0"/>
              <w:adjustRightInd w:val="0"/>
              <w:spacing w:before="73" w:line="360" w:lineRule="auto"/>
              <w:ind w:right="-23" w:firstLine="435"/>
              <w:jc w:val="left"/>
              <w:rPr>
                <w:szCs w:val="21"/>
              </w:rPr>
            </w:pPr>
            <w:r>
              <w:rPr>
                <w:rFonts w:hint="eastAsia"/>
                <w:szCs w:val="21"/>
              </w:rPr>
              <w:t>（9）税金：</w:t>
            </w:r>
          </w:p>
          <w:p>
            <w:pPr>
              <w:autoSpaceDE w:val="0"/>
              <w:autoSpaceDN w:val="0"/>
              <w:adjustRightInd w:val="0"/>
              <w:spacing w:before="73" w:line="360" w:lineRule="auto"/>
              <w:ind w:right="-23" w:firstLine="435"/>
              <w:jc w:val="left"/>
              <w:rPr>
                <w:szCs w:val="21"/>
              </w:rPr>
            </w:pPr>
            <w:r>
              <w:rPr>
                <w:rFonts w:hint="eastAsia"/>
                <w:szCs w:val="21"/>
              </w:rPr>
              <w:t>按《重庆市城乡建设委员会关于建筑业营业税改征增值税调整建设工程计价依据的通知》（渝建发【2016】35号）和</w:t>
            </w:r>
            <w:r>
              <w:rPr>
                <w:rFonts w:hint="eastAsia" w:ascii="宋体" w:hAnsi="宋体" w:cs="宋体"/>
                <w:b/>
                <w:bCs/>
                <w:szCs w:val="21"/>
              </w:rPr>
              <w:t>《重庆市城乡建设委员会关于适用增值税新税率调整建设工程计价依据的通知》（渝建（201</w:t>
            </w:r>
            <w:r>
              <w:rPr>
                <w:rFonts w:hint="eastAsia"/>
                <w:b/>
                <w:bCs/>
                <w:szCs w:val="21"/>
              </w:rPr>
              <w:t>8</w:t>
            </w:r>
            <w:r>
              <w:rPr>
                <w:rFonts w:hint="eastAsia" w:ascii="宋体" w:hAnsi="宋体" w:cs="宋体"/>
                <w:b/>
                <w:bCs/>
                <w:szCs w:val="21"/>
              </w:rPr>
              <w:t>）</w:t>
            </w:r>
            <w:r>
              <w:rPr>
                <w:rFonts w:hint="eastAsia"/>
                <w:b/>
                <w:bCs/>
                <w:szCs w:val="21"/>
              </w:rPr>
              <w:t>195</w:t>
            </w:r>
            <w:r>
              <w:rPr>
                <w:rFonts w:hint="eastAsia" w:ascii="宋体" w:hAnsi="宋体" w:cs="宋体"/>
                <w:b/>
                <w:bCs/>
                <w:szCs w:val="21"/>
              </w:rPr>
              <w:t>号）的要求执行。</w:t>
            </w:r>
          </w:p>
          <w:p>
            <w:pPr>
              <w:autoSpaceDE w:val="0"/>
              <w:autoSpaceDN w:val="0"/>
              <w:adjustRightInd w:val="0"/>
              <w:spacing w:before="73" w:line="360" w:lineRule="auto"/>
              <w:ind w:right="-23" w:firstLine="420" w:firstLineChars="200"/>
              <w:jc w:val="left"/>
              <w:rPr>
                <w:szCs w:val="21"/>
              </w:rPr>
            </w:pPr>
            <w:r>
              <w:rPr>
                <w:rFonts w:hint="eastAsia"/>
                <w:szCs w:val="21"/>
              </w:rPr>
              <w:t>（</w:t>
            </w:r>
            <w:r>
              <w:rPr>
                <w:szCs w:val="21"/>
              </w:rPr>
              <w:t>10</w:t>
            </w:r>
            <w:r>
              <w:rPr>
                <w:rFonts w:hint="eastAsia"/>
                <w:szCs w:val="21"/>
              </w:rPr>
              <w:t>）如因下述原因产生的费用由投标人自行承担，招标人不另行支付：</w:t>
            </w:r>
          </w:p>
          <w:p>
            <w:pPr>
              <w:autoSpaceDE w:val="0"/>
              <w:autoSpaceDN w:val="0"/>
              <w:adjustRightInd w:val="0"/>
              <w:spacing w:before="73" w:line="360" w:lineRule="auto"/>
              <w:ind w:right="-23" w:firstLine="420" w:firstLineChars="200"/>
              <w:jc w:val="left"/>
              <w:rPr>
                <w:szCs w:val="21"/>
              </w:rPr>
            </w:pPr>
            <w:r>
              <w:rPr>
                <w:rFonts w:hint="eastAsia" w:ascii="宋体" w:hAnsi="宋体"/>
                <w:szCs w:val="21"/>
              </w:rPr>
              <w:t>①</w:t>
            </w:r>
            <w:r>
              <w:rPr>
                <w:rFonts w:hint="eastAsia"/>
                <w:szCs w:val="21"/>
              </w:rPr>
              <w:t>招标人在确认设计成果时提出的修改或调整意见而产生设计费、资料费等；</w:t>
            </w:r>
          </w:p>
          <w:p>
            <w:pPr>
              <w:autoSpaceDE w:val="0"/>
              <w:autoSpaceDN w:val="0"/>
              <w:adjustRightInd w:val="0"/>
              <w:spacing w:before="73" w:line="360" w:lineRule="auto"/>
              <w:ind w:right="-23" w:firstLine="420" w:firstLineChars="200"/>
              <w:jc w:val="left"/>
              <w:rPr>
                <w:szCs w:val="21"/>
              </w:rPr>
            </w:pPr>
            <w:r>
              <w:rPr>
                <w:rFonts w:hint="eastAsia" w:ascii="宋体" w:hAnsi="宋体"/>
                <w:szCs w:val="21"/>
              </w:rPr>
              <w:t>②</w:t>
            </w:r>
            <w:r>
              <w:rPr>
                <w:rFonts w:hint="eastAsia"/>
                <w:szCs w:val="21"/>
              </w:rPr>
              <w:t>在报件过程中相关主管职能部门提出的方案设计、初步设计、施工设计修改或调整意见产生的设计费、资料费、审核费等；</w:t>
            </w:r>
          </w:p>
          <w:p>
            <w:pPr>
              <w:autoSpaceDE w:val="0"/>
              <w:autoSpaceDN w:val="0"/>
              <w:adjustRightInd w:val="0"/>
              <w:spacing w:before="73" w:line="360" w:lineRule="auto"/>
              <w:ind w:right="-23" w:firstLine="420" w:firstLineChars="200"/>
              <w:jc w:val="left"/>
              <w:rPr>
                <w:szCs w:val="21"/>
              </w:rPr>
            </w:pPr>
            <w:r>
              <w:rPr>
                <w:rFonts w:hint="eastAsia" w:ascii="宋体" w:hAnsi="宋体"/>
                <w:szCs w:val="21"/>
              </w:rPr>
              <w:t>③</w:t>
            </w:r>
            <w:r>
              <w:rPr>
                <w:rFonts w:hint="eastAsia"/>
                <w:szCs w:val="21"/>
              </w:rPr>
              <w:t>施工过程设计变更产生的设计费、资料费等；</w:t>
            </w:r>
          </w:p>
          <w:p>
            <w:pPr>
              <w:autoSpaceDE w:val="0"/>
              <w:autoSpaceDN w:val="0"/>
              <w:adjustRightInd w:val="0"/>
              <w:spacing w:before="73" w:line="360" w:lineRule="auto"/>
              <w:ind w:right="-23" w:firstLine="420" w:firstLineChars="200"/>
              <w:jc w:val="left"/>
              <w:rPr>
                <w:szCs w:val="21"/>
              </w:rPr>
            </w:pPr>
            <w:r>
              <w:rPr>
                <w:rFonts w:hint="eastAsia" w:ascii="宋体" w:hAnsi="宋体"/>
                <w:szCs w:val="21"/>
              </w:rPr>
              <w:t>④</w:t>
            </w:r>
            <w:r>
              <w:rPr>
                <w:rFonts w:hint="eastAsia"/>
                <w:szCs w:val="21"/>
              </w:rPr>
              <w:t>由于投标人设计深度不够；投标人应出详图而交付未出详图部分的费用；</w:t>
            </w:r>
          </w:p>
          <w:p>
            <w:pPr>
              <w:autoSpaceDE w:val="0"/>
              <w:autoSpaceDN w:val="0"/>
              <w:adjustRightInd w:val="0"/>
              <w:spacing w:before="73" w:line="360" w:lineRule="auto"/>
              <w:ind w:right="-23" w:firstLine="420" w:firstLineChars="200"/>
              <w:jc w:val="left"/>
              <w:rPr>
                <w:szCs w:val="21"/>
              </w:rPr>
            </w:pPr>
            <w:r>
              <w:rPr>
                <w:rFonts w:hint="eastAsia" w:ascii="宋体" w:hAnsi="宋体"/>
                <w:szCs w:val="21"/>
              </w:rPr>
              <w:t>⑤</w:t>
            </w:r>
            <w:r>
              <w:rPr>
                <w:rFonts w:hint="eastAsia"/>
                <w:szCs w:val="21"/>
              </w:rPr>
              <w:t>各专业、各专项设计的专家评审费；</w:t>
            </w:r>
          </w:p>
          <w:p>
            <w:pPr>
              <w:autoSpaceDE w:val="0"/>
              <w:autoSpaceDN w:val="0"/>
              <w:adjustRightInd w:val="0"/>
              <w:spacing w:before="73" w:line="360" w:lineRule="auto"/>
              <w:ind w:right="-23" w:firstLine="420" w:firstLineChars="200"/>
              <w:jc w:val="left"/>
              <w:rPr>
                <w:szCs w:val="21"/>
              </w:rPr>
            </w:pPr>
            <w:r>
              <w:rPr>
                <w:rFonts w:hint="eastAsia" w:ascii="宋体" w:hAnsi="宋体"/>
                <w:szCs w:val="21"/>
              </w:rPr>
              <w:t>⑥</w:t>
            </w:r>
            <w:r>
              <w:rPr>
                <w:rFonts w:hint="eastAsia"/>
                <w:szCs w:val="21"/>
              </w:rPr>
              <w:t>水电气等专业部门的二次深化设计费。</w:t>
            </w:r>
          </w:p>
          <w:p>
            <w:pPr>
              <w:adjustRightInd w:val="0"/>
              <w:snapToGrid w:val="0"/>
              <w:spacing w:line="360" w:lineRule="auto"/>
              <w:ind w:left="29" w:firstLine="424" w:firstLineChars="202"/>
              <w:rPr>
                <w:szCs w:val="21"/>
              </w:rPr>
            </w:pPr>
            <w:r>
              <w:rPr>
                <w:rFonts w:hint="eastAsia"/>
                <w:szCs w:val="21"/>
              </w:rPr>
              <w:t>注：投标人应先到项目所在地踏勘，以充分了解项目位置、地质地貌、气候与水文条件、交通状况、电力、给水、排水、热力及任何其他足以影响其设计费的情况。任何因中标人忽视或误解项目基本情况，而使招标人在项目实施过程中蒙受的损失，招标人有权要求中标人赔偿。</w:t>
            </w:r>
          </w:p>
          <w:p>
            <w:pPr>
              <w:adjustRightInd w:val="0"/>
              <w:snapToGrid w:val="0"/>
              <w:spacing w:line="360" w:lineRule="auto"/>
              <w:ind w:left="29" w:firstLine="424" w:firstLineChars="202"/>
              <w:rPr>
                <w:rFonts w:ascii="宋体" w:hAnsi="宋体" w:cs="宋体"/>
                <w:szCs w:val="21"/>
              </w:rPr>
            </w:pPr>
            <w:r>
              <w:rPr>
                <w:rFonts w:hint="eastAsia" w:ascii="宋体" w:hAnsi="宋体" w:cs="宋体"/>
                <w:szCs w:val="21"/>
                <w:highlight w:val="yellow"/>
              </w:rPr>
              <w:t>钢结构加工厂由承包单位先行申报总包单位报备，再由总包单位组织参建各家单位对加工厂进行考察，经业主复核认可后的加工厂运距作为结算依据。</w:t>
            </w:r>
          </w:p>
          <w:p>
            <w:pPr>
              <w:snapToGrid w:val="0"/>
              <w:spacing w:line="360" w:lineRule="auto"/>
              <w:ind w:firstLine="422" w:firstLineChars="200"/>
              <w:jc w:val="left"/>
              <w:rPr>
                <w:rFonts w:ascii="宋体" w:hAnsi="宋体" w:cs="宋体"/>
                <w:b/>
                <w:szCs w:val="21"/>
              </w:rPr>
            </w:pPr>
            <w:r>
              <w:rPr>
                <w:rFonts w:hint="eastAsia" w:ascii="宋体" w:hAnsi="宋体" w:cs="宋体"/>
                <w:b/>
                <w:szCs w:val="21"/>
              </w:rPr>
              <w:t>特别注意：</w:t>
            </w:r>
          </w:p>
          <w:p>
            <w:pPr>
              <w:snapToGrid w:val="0"/>
              <w:spacing w:line="360" w:lineRule="auto"/>
              <w:ind w:firstLine="420" w:firstLineChars="200"/>
              <w:jc w:val="left"/>
              <w:rPr>
                <w:rFonts w:ascii="宋体" w:hAnsi="宋体" w:cs="宋体"/>
                <w:szCs w:val="21"/>
              </w:rPr>
            </w:pPr>
            <w:r>
              <w:rPr>
                <w:rFonts w:hint="eastAsia" w:ascii="宋体" w:hAnsi="宋体" w:cs="宋体"/>
                <w:szCs w:val="21"/>
              </w:rPr>
              <w:t>1、施工进场主要道路由招标人解决，其他由于地形原因机械不能进出场费用投标人考虑在风险费用中，施工期间扰民和协调扰民内外的关系协调、治安工作及费用应包含在承包工作中。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1069" w:type="dxa"/>
            <w:vAlign w:val="center"/>
          </w:tcPr>
          <w:p>
            <w:pPr>
              <w:snapToGrid w:val="0"/>
              <w:spacing w:line="360" w:lineRule="auto"/>
              <w:rPr>
                <w:rFonts w:ascii="宋体" w:hAnsi="宋体" w:cs="宋体"/>
                <w:kern w:val="0"/>
                <w:szCs w:val="21"/>
              </w:rPr>
            </w:pPr>
            <w:r>
              <w:rPr>
                <w:rFonts w:hint="eastAsia" w:ascii="宋体" w:hAnsi="宋体" w:cs="宋体"/>
                <w:kern w:val="0"/>
                <w:szCs w:val="21"/>
              </w:rPr>
              <w:t>3.3.1</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投标有效期</w:t>
            </w:r>
          </w:p>
        </w:tc>
        <w:tc>
          <w:tcPr>
            <w:tcW w:w="7375" w:type="dxa"/>
            <w:vAlign w:val="center"/>
          </w:tcPr>
          <w:p>
            <w:pPr>
              <w:snapToGrid w:val="0"/>
              <w:spacing w:line="360" w:lineRule="auto"/>
              <w:rPr>
                <w:rFonts w:ascii="宋体" w:hAnsi="宋体" w:cs="宋体"/>
                <w:szCs w:val="21"/>
              </w:rPr>
            </w:pPr>
            <w:r>
              <w:rPr>
                <w:rFonts w:hint="eastAsia" w:ascii="宋体" w:hAnsi="宋体" w:cs="宋体"/>
                <w:szCs w:val="21"/>
                <w:u w:val="single"/>
              </w:rPr>
              <w:t>180</w:t>
            </w:r>
            <w:r>
              <w:rPr>
                <w:rFonts w:hint="eastAsia" w:ascii="宋体" w:hAnsi="宋体" w:cs="宋体"/>
                <w:szCs w:val="21"/>
              </w:rPr>
              <w:t>日历天（从提交投标文件截止日起计算）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1069" w:type="dxa"/>
            <w:vAlign w:val="center"/>
          </w:tcPr>
          <w:p>
            <w:pPr>
              <w:snapToGrid w:val="0"/>
              <w:spacing w:line="360" w:lineRule="auto"/>
              <w:rPr>
                <w:rFonts w:ascii="宋体" w:hAnsi="宋体" w:cs="宋体"/>
                <w:kern w:val="0"/>
                <w:szCs w:val="21"/>
              </w:rPr>
            </w:pPr>
            <w:r>
              <w:rPr>
                <w:rFonts w:hint="eastAsia" w:ascii="宋体" w:hAnsi="宋体" w:cs="宋体"/>
                <w:kern w:val="0"/>
                <w:szCs w:val="21"/>
              </w:rPr>
              <w:t>3.4</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投标保证金</w:t>
            </w:r>
          </w:p>
        </w:tc>
        <w:tc>
          <w:tcPr>
            <w:tcW w:w="7375" w:type="dxa"/>
            <w:vAlign w:val="center"/>
          </w:tcPr>
          <w:p>
            <w:pPr>
              <w:snapToGrid w:val="0"/>
              <w:spacing w:before="120" w:beforeLines="50" w:line="360" w:lineRule="auto"/>
              <w:rPr>
                <w:rFonts w:ascii="宋体" w:hAnsi="宋体" w:cs="宋体"/>
                <w:kern w:val="0"/>
                <w:szCs w:val="21"/>
              </w:rPr>
            </w:pPr>
            <w:r>
              <w:rPr>
                <w:rFonts w:hint="eastAsia" w:ascii="宋体" w:hAnsi="宋体" w:cs="宋体"/>
                <w:kern w:val="0"/>
                <w:szCs w:val="21"/>
              </w:rPr>
              <w:t>一、投标保证金的交纳</w:t>
            </w:r>
          </w:p>
          <w:p>
            <w:pPr>
              <w:spacing w:line="360" w:lineRule="auto"/>
              <w:ind w:firstLine="420" w:firstLineChars="200"/>
              <w:rPr>
                <w:rFonts w:ascii="宋体" w:hAnsi="宋体" w:cs="宋体"/>
                <w:kern w:val="0"/>
                <w:szCs w:val="21"/>
              </w:rPr>
            </w:pPr>
            <w:r>
              <w:rPr>
                <w:rFonts w:hint="eastAsia" w:ascii="宋体" w:hAnsi="宋体" w:cs="宋体"/>
                <w:kern w:val="0"/>
                <w:szCs w:val="21"/>
              </w:rPr>
              <w:t>1、投标保证金交款形式及要求：投标人从企业的基本账户（开户行）于</w:t>
            </w:r>
            <w:r>
              <w:rPr>
                <w:rFonts w:hint="eastAsia" w:ascii="宋体" w:hAnsi="宋体" w:cs="宋体"/>
                <w:b/>
                <w:kern w:val="0"/>
                <w:szCs w:val="21"/>
                <w:highlight w:val="yellow"/>
                <w:u w:val="single"/>
              </w:rPr>
              <w:t xml:space="preserve"> 2018年   月  日</w:t>
            </w:r>
            <w:r>
              <w:rPr>
                <w:rFonts w:hint="eastAsia" w:ascii="宋体" w:hAnsi="宋体" w:cs="宋体"/>
                <w:b/>
                <w:kern w:val="0"/>
                <w:szCs w:val="21"/>
              </w:rPr>
              <w:t>前通过转账支票直接划付或以电汇方式直接划付至下面指定的投标保证金账户，否则，投标保证金无效。</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投标人自行考虑汇入时间风险，如同城汇入、异地汇入、跨行汇入的时间要求。</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2、投标保证金的金额：</w:t>
            </w:r>
            <w:r>
              <w:rPr>
                <w:rFonts w:hint="eastAsia" w:ascii="宋体" w:hAnsi="宋体" w:cs="宋体"/>
                <w:kern w:val="0"/>
                <w:szCs w:val="21"/>
                <w:u w:val="single"/>
              </w:rPr>
              <w:t>伍万</w:t>
            </w:r>
            <w:r>
              <w:rPr>
                <w:rFonts w:hint="eastAsia" w:ascii="宋体" w:hAnsi="宋体" w:cs="宋体"/>
                <w:kern w:val="0"/>
                <w:szCs w:val="21"/>
              </w:rPr>
              <w:t>元整（人民币）。</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3、投标保证金账户及账号：</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户名：中机中联工程有限公司</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开户银行：中国建设银行股份有限公司重庆九龙坡石桥铺支行</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银行帐号：50001045000059888888</w:t>
            </w:r>
          </w:p>
          <w:p>
            <w:pPr>
              <w:snapToGrid w:val="0"/>
              <w:spacing w:line="360" w:lineRule="auto"/>
              <w:rPr>
                <w:rFonts w:ascii="宋体" w:hAnsi="宋体" w:cs="宋体"/>
                <w:kern w:val="0"/>
                <w:szCs w:val="21"/>
              </w:rPr>
            </w:pPr>
            <w:r>
              <w:rPr>
                <w:rFonts w:hint="eastAsia" w:ascii="宋体" w:hAnsi="宋体" w:cs="宋体"/>
                <w:kern w:val="0"/>
                <w:szCs w:val="21"/>
              </w:rPr>
              <w:t>二、投标保证金的退还</w:t>
            </w:r>
          </w:p>
          <w:p>
            <w:pPr>
              <w:spacing w:line="360" w:lineRule="auto"/>
              <w:ind w:firstLine="420" w:firstLineChars="200"/>
              <w:rPr>
                <w:rFonts w:ascii="宋体" w:hAnsi="宋体" w:cs="宋体"/>
                <w:kern w:val="0"/>
                <w:szCs w:val="21"/>
              </w:rPr>
            </w:pPr>
            <w:r>
              <w:rPr>
                <w:rFonts w:hint="eastAsia" w:ascii="宋体" w:hAnsi="宋体" w:cs="宋体"/>
                <w:kern w:val="0"/>
                <w:szCs w:val="21"/>
              </w:rPr>
              <w:t>投标保证金在中标人与招标人签订合同后10个工作日内退还。</w:t>
            </w:r>
          </w:p>
          <w:p>
            <w:pPr>
              <w:spacing w:line="360" w:lineRule="auto"/>
              <w:rPr>
                <w:rFonts w:ascii="宋体" w:hAnsi="宋体" w:cs="宋体"/>
                <w:bCs/>
                <w:szCs w:val="21"/>
              </w:rPr>
            </w:pPr>
            <w:r>
              <w:rPr>
                <w:rFonts w:hint="eastAsia" w:ascii="宋体" w:hAnsi="宋体" w:cs="宋体"/>
                <w:bCs/>
                <w:szCs w:val="21"/>
              </w:rPr>
              <w:t>三、其他</w:t>
            </w:r>
          </w:p>
          <w:p>
            <w:pPr>
              <w:spacing w:line="360" w:lineRule="auto"/>
              <w:ind w:left="315"/>
              <w:rPr>
                <w:rFonts w:ascii="宋体" w:hAnsi="宋体" w:cs="宋体"/>
                <w:szCs w:val="21"/>
                <w:u w:val="single"/>
              </w:rPr>
            </w:pPr>
            <w:r>
              <w:rPr>
                <w:rFonts w:hint="eastAsia" w:ascii="宋体" w:hAnsi="宋体" w:cs="宋体"/>
                <w:bCs/>
                <w:szCs w:val="21"/>
              </w:rPr>
              <w:t>（1）投标人必须在付款凭证备注栏中注明“</w:t>
            </w:r>
            <w:r>
              <w:rPr>
                <w:rFonts w:hint="eastAsia" w:ascii="宋体" w:hAnsi="宋体" w:cs="宋体"/>
                <w:snapToGrid w:val="0"/>
                <w:kern w:val="0"/>
                <w:szCs w:val="21"/>
                <w:u w:val="single"/>
              </w:rPr>
              <w:t>西彭组团D63、D64地块厂房项目钢结构分包招标</w:t>
            </w:r>
            <w:r>
              <w:rPr>
                <w:rFonts w:hint="eastAsia" w:ascii="宋体" w:hAnsi="宋体" w:cs="宋体"/>
                <w:bCs/>
                <w:szCs w:val="21"/>
              </w:rPr>
              <w:t>、或分包名称、或招标编号”项目投标保证金；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3.5</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资格审查资料</w:t>
            </w:r>
          </w:p>
        </w:tc>
        <w:tc>
          <w:tcPr>
            <w:tcW w:w="7375" w:type="dxa"/>
            <w:vAlign w:val="center"/>
          </w:tcPr>
          <w:p>
            <w:pPr>
              <w:snapToGrid w:val="0"/>
              <w:spacing w:before="120" w:beforeLines="50" w:line="360" w:lineRule="auto"/>
              <w:rPr>
                <w:rFonts w:ascii="宋体" w:hAnsi="宋体" w:cs="宋体"/>
                <w:kern w:val="0"/>
                <w:szCs w:val="21"/>
              </w:rPr>
            </w:pPr>
            <w:r>
              <w:rPr>
                <w:rFonts w:hint="eastAsia" w:ascii="宋体" w:hAnsi="宋体" w:cs="宋体"/>
                <w:kern w:val="0"/>
                <w:szCs w:val="21"/>
              </w:rPr>
              <w:t>满足本须知第1.4.1项和招标文件规定提供的资料复印件。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69" w:type="dxa"/>
            <w:vAlign w:val="center"/>
          </w:tcPr>
          <w:p>
            <w:pPr>
              <w:snapToGrid w:val="0"/>
              <w:spacing w:line="360" w:lineRule="auto"/>
              <w:ind w:firstLine="210" w:firstLineChars="100"/>
              <w:rPr>
                <w:rFonts w:ascii="宋体" w:hAnsi="宋体" w:cs="宋体"/>
                <w:kern w:val="0"/>
                <w:szCs w:val="21"/>
              </w:rPr>
            </w:pPr>
            <w:r>
              <w:rPr>
                <w:rFonts w:hint="eastAsia" w:ascii="宋体" w:hAnsi="宋体" w:cs="宋体"/>
                <w:kern w:val="0"/>
                <w:szCs w:val="21"/>
              </w:rPr>
              <w:t>3.6</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是否允许递交备选投标方案</w:t>
            </w:r>
          </w:p>
        </w:tc>
        <w:tc>
          <w:tcPr>
            <w:tcW w:w="7375" w:type="dxa"/>
            <w:vAlign w:val="center"/>
          </w:tcPr>
          <w:p>
            <w:pPr>
              <w:snapToGrid w:val="0"/>
              <w:spacing w:line="360" w:lineRule="auto"/>
              <w:rPr>
                <w:rFonts w:ascii="宋体" w:hAnsi="宋体" w:cs="宋体"/>
                <w:kern w:val="0"/>
                <w:szCs w:val="21"/>
              </w:rPr>
            </w:pPr>
            <w:r>
              <w:rPr>
                <w:rFonts w:hint="eastAsia" w:ascii="宋体" w:hAnsi="宋体" w:cs="宋体"/>
                <w:kern w:val="0"/>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69" w:type="dxa"/>
            <w:vAlign w:val="center"/>
          </w:tcPr>
          <w:p>
            <w:pPr>
              <w:spacing w:line="360" w:lineRule="auto"/>
              <w:jc w:val="center"/>
              <w:textAlignment w:val="baseline"/>
              <w:rPr>
                <w:rFonts w:ascii="宋体" w:hAnsi="宋体" w:cs="宋体"/>
                <w:kern w:val="0"/>
                <w:szCs w:val="21"/>
              </w:rPr>
            </w:pPr>
            <w:r>
              <w:rPr>
                <w:rFonts w:hint="eastAsia" w:ascii="宋体" w:hAnsi="宋体" w:cs="宋体"/>
                <w:kern w:val="0"/>
                <w:szCs w:val="21"/>
              </w:rPr>
              <w:t>3.7.3</w:t>
            </w:r>
          </w:p>
        </w:tc>
        <w:tc>
          <w:tcPr>
            <w:tcW w:w="1119" w:type="dxa"/>
            <w:vAlign w:val="center"/>
          </w:tcPr>
          <w:p>
            <w:pPr>
              <w:spacing w:line="360" w:lineRule="auto"/>
              <w:jc w:val="center"/>
              <w:textAlignment w:val="baseline"/>
              <w:rPr>
                <w:rFonts w:ascii="宋体" w:hAnsi="宋体" w:cs="宋体"/>
                <w:kern w:val="0"/>
                <w:szCs w:val="21"/>
              </w:rPr>
            </w:pPr>
            <w:r>
              <w:rPr>
                <w:rFonts w:hint="eastAsia" w:ascii="宋体" w:hAnsi="宋体" w:cs="宋体"/>
                <w:kern w:val="0"/>
                <w:szCs w:val="21"/>
              </w:rPr>
              <w:t>签字或盖章要求</w:t>
            </w:r>
          </w:p>
        </w:tc>
        <w:tc>
          <w:tcPr>
            <w:tcW w:w="7375" w:type="dxa"/>
            <w:vAlign w:val="center"/>
          </w:tcPr>
          <w:p>
            <w:pPr>
              <w:spacing w:line="360" w:lineRule="auto"/>
              <w:jc w:val="left"/>
              <w:textAlignment w:val="baseline"/>
              <w:rPr>
                <w:rFonts w:ascii="宋体" w:hAnsi="宋体" w:cs="宋体"/>
                <w:kern w:val="0"/>
                <w:szCs w:val="21"/>
              </w:rPr>
            </w:pPr>
            <w:r>
              <w:rPr>
                <w:rFonts w:hint="eastAsia" w:ascii="宋体" w:hAnsi="宋体" w:cs="宋体"/>
                <w:kern w:val="0"/>
                <w:szCs w:val="21"/>
              </w:rPr>
              <w:t>按本章投标人须知3.7.3款执行。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69" w:type="dxa"/>
            <w:vAlign w:val="center"/>
          </w:tcPr>
          <w:p>
            <w:pPr>
              <w:snapToGrid w:val="0"/>
              <w:spacing w:line="360" w:lineRule="auto"/>
              <w:ind w:firstLine="105" w:firstLineChars="50"/>
              <w:rPr>
                <w:rFonts w:ascii="宋体" w:hAnsi="宋体" w:cs="宋体"/>
                <w:kern w:val="0"/>
                <w:szCs w:val="21"/>
                <w:u w:val="single"/>
              </w:rPr>
            </w:pPr>
            <w:r>
              <w:rPr>
                <w:rFonts w:hint="eastAsia" w:ascii="宋体" w:hAnsi="宋体" w:cs="宋体"/>
                <w:kern w:val="0"/>
                <w:szCs w:val="21"/>
              </w:rPr>
              <w:t>3.7.4</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投标文件份数</w:t>
            </w:r>
          </w:p>
        </w:tc>
        <w:tc>
          <w:tcPr>
            <w:tcW w:w="7375" w:type="dxa"/>
            <w:vAlign w:val="center"/>
          </w:tcPr>
          <w:p>
            <w:pPr>
              <w:snapToGrid w:val="0"/>
              <w:spacing w:line="360" w:lineRule="auto"/>
              <w:ind w:firstLine="420" w:firstLineChars="200"/>
              <w:rPr>
                <w:rFonts w:ascii="宋体" w:hAnsi="宋体" w:cs="宋体"/>
                <w:kern w:val="0"/>
                <w:szCs w:val="21"/>
              </w:rPr>
            </w:pPr>
            <w:r>
              <w:rPr>
                <w:rFonts w:hint="eastAsia" w:ascii="宋体" w:hAnsi="宋体" w:cs="宋体"/>
                <w:kern w:val="0"/>
                <w:szCs w:val="21"/>
              </w:rPr>
              <w:t>投标文件正本壹份，副本</w:t>
            </w:r>
            <w:r>
              <w:rPr>
                <w:rFonts w:hint="eastAsia" w:ascii="宋体" w:hAnsi="宋体" w:cs="宋体"/>
                <w:kern w:val="0"/>
                <w:szCs w:val="21"/>
                <w:u w:val="single"/>
              </w:rPr>
              <w:t xml:space="preserve">  贰  </w:t>
            </w:r>
            <w:r>
              <w:rPr>
                <w:rFonts w:hint="eastAsia" w:ascii="宋体" w:hAnsi="宋体" w:cs="宋体"/>
                <w:kern w:val="0"/>
                <w:szCs w:val="21"/>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1069" w:type="dxa"/>
            <w:vAlign w:val="center"/>
          </w:tcPr>
          <w:p>
            <w:pPr>
              <w:snapToGrid w:val="0"/>
              <w:spacing w:line="360" w:lineRule="auto"/>
              <w:ind w:firstLine="105" w:firstLineChars="50"/>
              <w:rPr>
                <w:rFonts w:ascii="宋体" w:hAnsi="宋体" w:cs="宋体"/>
                <w:kern w:val="0"/>
                <w:szCs w:val="21"/>
              </w:rPr>
            </w:pPr>
            <w:r>
              <w:rPr>
                <w:rFonts w:hint="eastAsia" w:ascii="宋体" w:hAnsi="宋体" w:cs="宋体"/>
                <w:kern w:val="0"/>
                <w:szCs w:val="21"/>
              </w:rPr>
              <w:t>3.7.5</w:t>
            </w:r>
          </w:p>
          <w:p>
            <w:pPr>
              <w:snapToGrid w:val="0"/>
              <w:spacing w:line="360" w:lineRule="auto"/>
              <w:rPr>
                <w:rFonts w:ascii="宋体" w:hAnsi="宋体" w:cs="宋体"/>
                <w:kern w:val="0"/>
                <w:szCs w:val="21"/>
              </w:rPr>
            </w:pP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装订要求</w:t>
            </w:r>
          </w:p>
          <w:p>
            <w:pPr>
              <w:snapToGrid w:val="0"/>
              <w:spacing w:line="360" w:lineRule="auto"/>
              <w:rPr>
                <w:rFonts w:ascii="宋体" w:hAnsi="宋体" w:cs="宋体"/>
                <w:kern w:val="0"/>
                <w:szCs w:val="21"/>
              </w:rPr>
            </w:pPr>
          </w:p>
        </w:tc>
        <w:tc>
          <w:tcPr>
            <w:tcW w:w="7375" w:type="dxa"/>
            <w:vAlign w:val="center"/>
          </w:tcPr>
          <w:p>
            <w:pPr>
              <w:snapToGrid w:val="0"/>
              <w:spacing w:line="360" w:lineRule="auto"/>
              <w:ind w:firstLine="420" w:firstLineChars="200"/>
              <w:rPr>
                <w:rFonts w:ascii="宋体" w:hAnsi="宋体" w:cs="宋体"/>
                <w:kern w:val="0"/>
                <w:szCs w:val="21"/>
              </w:rPr>
            </w:pPr>
            <w:r>
              <w:rPr>
                <w:rFonts w:hint="eastAsia" w:ascii="宋体" w:hAnsi="宋体" w:cs="宋体"/>
                <w:kern w:val="0"/>
                <w:szCs w:val="21"/>
              </w:rPr>
              <w:t>1、应将投标函部分、资格审查资料、技术部分各自分别装订成册。</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2、装订</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（1）投标函部分的装订要求</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应按照第七章规定格式装订成册。</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（2）资格审查资料的装订要求</w:t>
            </w:r>
          </w:p>
          <w:p>
            <w:pPr>
              <w:autoSpaceDE w:val="0"/>
              <w:autoSpaceDN w:val="0"/>
              <w:adjustRightInd w:val="0"/>
              <w:spacing w:line="360" w:lineRule="auto"/>
              <w:ind w:right="-23" w:firstLine="420" w:firstLineChars="200"/>
              <w:rPr>
                <w:rFonts w:ascii="宋体" w:hAnsi="宋体" w:cs="宋体"/>
                <w:kern w:val="0"/>
                <w:szCs w:val="21"/>
              </w:rPr>
            </w:pPr>
            <w:r>
              <w:rPr>
                <w:rFonts w:hint="eastAsia" w:ascii="宋体" w:hAnsi="宋体" w:cs="宋体"/>
                <w:kern w:val="0"/>
                <w:szCs w:val="21"/>
              </w:rPr>
              <w:t>应按照第七章规定格式装订成册。</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（3）技术资料的装订要求</w:t>
            </w:r>
          </w:p>
          <w:p>
            <w:pPr>
              <w:autoSpaceDE w:val="0"/>
              <w:autoSpaceDN w:val="0"/>
              <w:adjustRightInd w:val="0"/>
              <w:spacing w:line="360" w:lineRule="auto"/>
              <w:ind w:right="-23" w:firstLine="420" w:firstLineChars="200"/>
              <w:rPr>
                <w:rFonts w:ascii="宋体" w:hAnsi="宋体" w:cs="宋体"/>
                <w:kern w:val="0"/>
                <w:szCs w:val="21"/>
              </w:rPr>
            </w:pPr>
            <w:r>
              <w:rPr>
                <w:rFonts w:hint="eastAsia" w:ascii="宋体" w:hAnsi="宋体" w:cs="宋体"/>
                <w:kern w:val="0"/>
                <w:szCs w:val="21"/>
              </w:rPr>
              <w:t>应按照第七章规定格式装订成册。</w:t>
            </w:r>
          </w:p>
          <w:p>
            <w:pPr>
              <w:autoSpaceDE w:val="0"/>
              <w:autoSpaceDN w:val="0"/>
              <w:adjustRightInd w:val="0"/>
              <w:spacing w:line="360" w:lineRule="auto"/>
              <w:ind w:right="-23" w:firstLine="422" w:firstLineChars="200"/>
              <w:rPr>
                <w:rFonts w:ascii="宋体" w:hAnsi="宋体" w:cs="宋体"/>
                <w:b/>
                <w:szCs w:val="21"/>
              </w:rPr>
            </w:pPr>
            <w:r>
              <w:rPr>
                <w:rFonts w:hint="eastAsia" w:ascii="宋体" w:hAnsi="宋体" w:cs="宋体"/>
                <w:b/>
                <w:szCs w:val="21"/>
              </w:rPr>
              <w:t>（4）提供U盘一个,内容包括所有纸质版投标文件内容，注明投标人名称，</w:t>
            </w:r>
            <w:r>
              <w:rPr>
                <w:rFonts w:hint="eastAsia" w:ascii="宋体" w:hAnsi="宋体" w:cs="宋体"/>
                <w:b/>
                <w:bCs/>
                <w:szCs w:val="21"/>
              </w:rPr>
              <w:t>统一包装在密封袋中</w:t>
            </w:r>
            <w:r>
              <w:rPr>
                <w:rFonts w:hint="eastAsia" w:ascii="宋体" w:hAnsi="宋体" w:cs="宋体"/>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 w:hRule="atLeast"/>
          <w:jc w:val="center"/>
        </w:trPr>
        <w:tc>
          <w:tcPr>
            <w:tcW w:w="1069" w:type="dxa"/>
            <w:vAlign w:val="center"/>
          </w:tcPr>
          <w:p>
            <w:pPr>
              <w:snapToGrid w:val="0"/>
              <w:spacing w:line="360" w:lineRule="auto"/>
              <w:rPr>
                <w:rFonts w:ascii="宋体" w:hAnsi="宋体" w:cs="宋体"/>
                <w:kern w:val="0"/>
                <w:szCs w:val="21"/>
              </w:rPr>
            </w:pPr>
            <w:r>
              <w:rPr>
                <w:rFonts w:hint="eastAsia" w:ascii="宋体" w:hAnsi="宋体" w:cs="宋体"/>
                <w:kern w:val="0"/>
                <w:szCs w:val="21"/>
              </w:rPr>
              <w:t>4.1.1</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投标文件的密封</w:t>
            </w:r>
          </w:p>
        </w:tc>
        <w:tc>
          <w:tcPr>
            <w:tcW w:w="7375" w:type="dxa"/>
            <w:vAlign w:val="center"/>
          </w:tcPr>
          <w:p>
            <w:pPr>
              <w:snapToGrid w:val="0"/>
              <w:spacing w:line="360" w:lineRule="auto"/>
              <w:ind w:firstLine="420" w:firstLineChars="200"/>
              <w:rPr>
                <w:rFonts w:ascii="宋体" w:hAnsi="宋体" w:cs="宋体"/>
                <w:kern w:val="0"/>
                <w:szCs w:val="21"/>
              </w:rPr>
            </w:pPr>
            <w:r>
              <w:rPr>
                <w:rFonts w:hint="eastAsia" w:ascii="宋体" w:hAnsi="宋体" w:cs="宋体"/>
                <w:kern w:val="0"/>
                <w:szCs w:val="21"/>
              </w:rPr>
              <w:t>1.“投标函部分”、“技术部分”、“样品”、“U盘”等装入“投标文件”袋中，密封并在所有密封袋的封口处贴封条并骑缝加盖投标人公章，同时“投标文件袋”应按本表第4.1.2项的规定写明相应内容。</w:t>
            </w:r>
          </w:p>
          <w:p>
            <w:pPr>
              <w:adjustRightInd w:val="0"/>
              <w:snapToGrid w:val="0"/>
              <w:spacing w:line="360" w:lineRule="auto"/>
              <w:ind w:firstLine="388" w:firstLineChars="184"/>
              <w:rPr>
                <w:rFonts w:ascii="宋体" w:hAnsi="宋体" w:cs="宋体"/>
                <w:b/>
                <w:kern w:val="0"/>
                <w:szCs w:val="21"/>
              </w:rPr>
            </w:pPr>
            <w:r>
              <w:rPr>
                <w:rFonts w:hint="eastAsia" w:ascii="宋体" w:hAnsi="宋体" w:cs="宋体"/>
                <w:b/>
                <w:kern w:val="0"/>
                <w:szCs w:val="21"/>
              </w:rPr>
              <w:t>2.如果投标文件没有按上述规定密封，该投标文件将被拒绝接收。</w:t>
            </w:r>
          </w:p>
          <w:p>
            <w:pPr>
              <w:adjustRightInd w:val="0"/>
              <w:snapToGrid w:val="0"/>
              <w:spacing w:line="360" w:lineRule="auto"/>
              <w:ind w:firstLine="386" w:firstLineChars="184"/>
              <w:rPr>
                <w:rFonts w:ascii="宋体" w:hAnsi="宋体" w:cs="宋体"/>
                <w:kern w:val="0"/>
                <w:szCs w:val="21"/>
              </w:rPr>
            </w:pPr>
            <w:r>
              <w:rPr>
                <w:rFonts w:hint="eastAsia" w:ascii="宋体" w:hAnsi="宋体" w:cs="宋体"/>
                <w:kern w:val="0"/>
                <w:szCs w:val="21"/>
              </w:rPr>
              <w:t>注：如投标文件较厚，上述各部分投标文件不能装入相应的一个袋中，投标人可按上述要求增加投标文件袋。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3" w:hRule="atLeast"/>
          <w:jc w:val="center"/>
        </w:trPr>
        <w:tc>
          <w:tcPr>
            <w:tcW w:w="1069" w:type="dxa"/>
            <w:vAlign w:val="center"/>
          </w:tcPr>
          <w:p>
            <w:pPr>
              <w:snapToGrid w:val="0"/>
              <w:spacing w:line="360" w:lineRule="auto"/>
              <w:rPr>
                <w:rFonts w:ascii="宋体" w:hAnsi="宋体" w:cs="宋体"/>
                <w:kern w:val="0"/>
                <w:szCs w:val="21"/>
              </w:rPr>
            </w:pPr>
            <w:r>
              <w:rPr>
                <w:rFonts w:hint="eastAsia" w:ascii="宋体" w:hAnsi="宋体" w:cs="宋体"/>
                <w:kern w:val="0"/>
                <w:szCs w:val="21"/>
              </w:rPr>
              <w:t>4.1.2</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封套上写明</w:t>
            </w:r>
          </w:p>
        </w:tc>
        <w:tc>
          <w:tcPr>
            <w:tcW w:w="7375" w:type="dxa"/>
            <w:vAlign w:val="center"/>
          </w:tcPr>
          <w:p>
            <w:pPr>
              <w:autoSpaceDE w:val="0"/>
              <w:autoSpaceDN w:val="0"/>
              <w:adjustRightInd w:val="0"/>
              <w:spacing w:line="360" w:lineRule="auto"/>
              <w:ind w:right="-127"/>
              <w:rPr>
                <w:rFonts w:ascii="宋体" w:hAnsi="宋体" w:cs="宋体"/>
                <w:kern w:val="0"/>
                <w:szCs w:val="21"/>
              </w:rPr>
            </w:pPr>
            <w:r>
              <w:rPr>
                <w:rFonts w:hint="eastAsia" w:ascii="宋体" w:hAnsi="宋体" w:cs="宋体"/>
                <w:kern w:val="0"/>
                <w:szCs w:val="21"/>
              </w:rPr>
              <w:t>投标文件大袋上应写明：</w:t>
            </w:r>
          </w:p>
          <w:p>
            <w:pPr>
              <w:snapToGrid w:val="0"/>
              <w:spacing w:line="360" w:lineRule="auto"/>
              <w:rPr>
                <w:rFonts w:ascii="宋体" w:hAnsi="宋体" w:cs="宋体"/>
                <w:kern w:val="0"/>
                <w:szCs w:val="21"/>
                <w:u w:val="single"/>
              </w:rPr>
            </w:pPr>
            <w:r>
              <w:rPr>
                <w:rFonts w:hint="eastAsia" w:ascii="宋体" w:hAnsi="宋体" w:cs="宋体"/>
                <w:kern w:val="0"/>
                <w:szCs w:val="21"/>
              </w:rPr>
              <w:t>招标人的地址：</w:t>
            </w:r>
            <w:r>
              <w:rPr>
                <w:rFonts w:hint="eastAsia" w:ascii="宋体" w:hAnsi="宋体" w:cs="宋体"/>
                <w:szCs w:val="21"/>
                <w:u w:val="single"/>
              </w:rPr>
              <w:t>重庆市渝州路17号</w:t>
            </w:r>
          </w:p>
          <w:p>
            <w:pPr>
              <w:snapToGrid w:val="0"/>
              <w:spacing w:line="360" w:lineRule="auto"/>
              <w:rPr>
                <w:rFonts w:ascii="宋体" w:hAnsi="宋体" w:cs="宋体"/>
                <w:kern w:val="0"/>
                <w:szCs w:val="21"/>
                <w:u w:val="single"/>
              </w:rPr>
            </w:pPr>
            <w:r>
              <w:rPr>
                <w:rFonts w:hint="eastAsia" w:ascii="宋体" w:hAnsi="宋体" w:cs="宋体"/>
                <w:kern w:val="0"/>
                <w:szCs w:val="21"/>
              </w:rPr>
              <w:t>招标人名称：</w:t>
            </w:r>
            <w:r>
              <w:rPr>
                <w:rFonts w:hint="eastAsia" w:ascii="宋体" w:hAnsi="宋体" w:cs="宋体"/>
                <w:szCs w:val="21"/>
                <w:u w:val="single"/>
              </w:rPr>
              <w:t>中机中联工程有限公司</w:t>
            </w:r>
          </w:p>
          <w:p>
            <w:pPr>
              <w:snapToGrid w:val="0"/>
              <w:spacing w:line="360" w:lineRule="auto"/>
              <w:rPr>
                <w:rFonts w:ascii="宋体" w:hAnsi="宋体" w:cs="宋体"/>
                <w:kern w:val="0"/>
                <w:szCs w:val="21"/>
              </w:rPr>
            </w:pPr>
            <w:r>
              <w:rPr>
                <w:rFonts w:hint="eastAsia" w:ascii="宋体" w:hAnsi="宋体" w:cs="宋体"/>
                <w:kern w:val="0"/>
                <w:szCs w:val="21"/>
              </w:rPr>
              <w:t>项目名称：</w:t>
            </w:r>
            <w:r>
              <w:rPr>
                <w:rFonts w:hint="eastAsia" w:ascii="宋体" w:hAnsi="宋体" w:cs="宋体"/>
                <w:snapToGrid w:val="0"/>
                <w:kern w:val="0"/>
                <w:szCs w:val="21"/>
                <w:u w:val="single"/>
              </w:rPr>
              <w:t>西彭组团D63、D64地块厂房项目钢结构工程专业分包</w:t>
            </w:r>
            <w:r>
              <w:rPr>
                <w:rFonts w:hint="eastAsia" w:ascii="宋体" w:hAnsi="宋体" w:cs="宋体"/>
                <w:kern w:val="0"/>
                <w:szCs w:val="21"/>
              </w:rPr>
              <w:t>投标文件</w:t>
            </w:r>
          </w:p>
          <w:p>
            <w:pPr>
              <w:snapToGrid w:val="0"/>
              <w:spacing w:line="360" w:lineRule="auto"/>
              <w:rPr>
                <w:rFonts w:ascii="宋体" w:hAnsi="宋体" w:cs="宋体"/>
                <w:kern w:val="0"/>
                <w:szCs w:val="21"/>
              </w:rPr>
            </w:pPr>
            <w:r>
              <w:rPr>
                <w:rFonts w:hint="eastAsia" w:ascii="宋体" w:hAnsi="宋体" w:cs="宋体"/>
                <w:kern w:val="0"/>
                <w:szCs w:val="21"/>
              </w:rPr>
              <w:t>在</w:t>
            </w:r>
            <w:r>
              <w:rPr>
                <w:rFonts w:hint="eastAsia" w:ascii="宋体" w:hAnsi="宋体" w:cs="宋体"/>
                <w:kern w:val="0"/>
                <w:szCs w:val="21"/>
                <w:u w:val="single"/>
              </w:rPr>
              <w:t xml:space="preserve">   2018  </w:t>
            </w:r>
            <w:r>
              <w:rPr>
                <w:rFonts w:hint="eastAsia" w:ascii="宋体" w:hAnsi="宋体" w:cs="宋体"/>
                <w:kern w:val="0"/>
                <w:szCs w:val="21"/>
                <w:highlight w:val="yellow"/>
              </w:rPr>
              <w:t>年</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 xml:space="preserve">月  </w:t>
            </w:r>
            <w:r>
              <w:rPr>
                <w:rFonts w:hint="eastAsia" w:ascii="宋体" w:hAnsi="宋体" w:cs="宋体"/>
                <w:kern w:val="0"/>
                <w:szCs w:val="21"/>
                <w:highlight w:val="yellow"/>
                <w:u w:val="single"/>
              </w:rPr>
              <w:t xml:space="preserve"> </w:t>
            </w:r>
            <w:r>
              <w:rPr>
                <w:rFonts w:hint="eastAsia" w:ascii="宋体" w:hAnsi="宋体" w:cs="宋体"/>
                <w:kern w:val="0"/>
                <w:szCs w:val="21"/>
                <w:highlight w:val="yellow"/>
              </w:rPr>
              <w:t>日</w:t>
            </w:r>
            <w:r>
              <w:rPr>
                <w:rFonts w:hint="eastAsia" w:ascii="宋体" w:hAnsi="宋体" w:cs="宋体"/>
                <w:kern w:val="0"/>
                <w:szCs w:val="21"/>
                <w:highlight w:val="yellow"/>
                <w:u w:val="single"/>
              </w:rPr>
              <w:t xml:space="preserve">  15  </w:t>
            </w:r>
            <w:r>
              <w:rPr>
                <w:rFonts w:hint="eastAsia" w:ascii="宋体" w:hAnsi="宋体" w:cs="宋体"/>
                <w:kern w:val="0"/>
                <w:szCs w:val="21"/>
                <w:highlight w:val="yellow"/>
              </w:rPr>
              <w:t>时</w:t>
            </w:r>
            <w:r>
              <w:rPr>
                <w:rFonts w:hint="eastAsia" w:ascii="宋体" w:hAnsi="宋体" w:cs="宋体"/>
                <w:kern w:val="0"/>
                <w:szCs w:val="21"/>
                <w:highlight w:val="yellow"/>
                <w:u w:val="single"/>
              </w:rPr>
              <w:t xml:space="preserve">   30  </w:t>
            </w:r>
            <w:r>
              <w:rPr>
                <w:rFonts w:hint="eastAsia" w:ascii="宋体" w:hAnsi="宋体" w:cs="宋体"/>
                <w:kern w:val="0"/>
                <w:szCs w:val="21"/>
                <w:highlight w:val="yellow"/>
              </w:rPr>
              <w:t>分</w:t>
            </w:r>
            <w:r>
              <w:rPr>
                <w:rFonts w:hint="eastAsia" w:ascii="宋体" w:hAnsi="宋体" w:cs="宋体"/>
                <w:kern w:val="0"/>
                <w:szCs w:val="21"/>
              </w:rPr>
              <w:t>前不得开启</w:t>
            </w:r>
          </w:p>
          <w:p>
            <w:pPr>
              <w:snapToGrid w:val="0"/>
              <w:spacing w:line="360" w:lineRule="auto"/>
              <w:rPr>
                <w:rFonts w:ascii="宋体" w:hAnsi="宋体" w:cs="宋体"/>
                <w:szCs w:val="21"/>
              </w:rPr>
            </w:pPr>
            <w:r>
              <w:rPr>
                <w:rFonts w:hint="eastAsia" w:ascii="宋体" w:hAnsi="宋体" w:cs="宋体"/>
                <w:kern w:val="0"/>
                <w:szCs w:val="21"/>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4.2.2</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递交投标文件地点</w:t>
            </w:r>
          </w:p>
        </w:tc>
        <w:tc>
          <w:tcPr>
            <w:tcW w:w="7375" w:type="dxa"/>
            <w:vAlign w:val="center"/>
          </w:tcPr>
          <w:p>
            <w:pPr>
              <w:snapToGrid w:val="0"/>
              <w:spacing w:line="360" w:lineRule="auto"/>
              <w:rPr>
                <w:rFonts w:ascii="宋体" w:hAnsi="宋体" w:cs="宋体"/>
                <w:szCs w:val="21"/>
              </w:rPr>
            </w:pPr>
            <w:r>
              <w:rPr>
                <w:rFonts w:hint="eastAsia" w:ascii="宋体" w:hAnsi="宋体" w:cs="宋体"/>
                <w:kern w:val="0"/>
                <w:szCs w:val="21"/>
              </w:rPr>
              <w:t xml:space="preserve">中机中联工程有限公司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4.2.3</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是否退还投标文件</w:t>
            </w:r>
          </w:p>
        </w:tc>
        <w:tc>
          <w:tcPr>
            <w:tcW w:w="7375" w:type="dxa"/>
            <w:vAlign w:val="center"/>
          </w:tcPr>
          <w:p>
            <w:pPr>
              <w:snapToGrid w:val="0"/>
              <w:spacing w:line="360" w:lineRule="auto"/>
              <w:rPr>
                <w:rFonts w:ascii="宋体" w:hAnsi="宋体" w:cs="宋体"/>
                <w:kern w:val="0"/>
                <w:szCs w:val="21"/>
              </w:rPr>
            </w:pPr>
            <w:r>
              <w:rPr>
                <w:rFonts w:hint="eastAsia" w:ascii="宋体" w:hAnsi="宋体" w:cs="宋体"/>
                <w:kern w:val="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5.1</w:t>
            </w:r>
          </w:p>
        </w:tc>
        <w:tc>
          <w:tcPr>
            <w:tcW w:w="111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开标时间和地点</w:t>
            </w:r>
          </w:p>
        </w:tc>
        <w:tc>
          <w:tcPr>
            <w:tcW w:w="7375" w:type="dxa"/>
            <w:vAlign w:val="center"/>
          </w:tcPr>
          <w:p>
            <w:pPr>
              <w:snapToGrid w:val="0"/>
              <w:spacing w:line="360" w:lineRule="auto"/>
              <w:rPr>
                <w:rFonts w:ascii="宋体" w:hAnsi="宋体" w:cs="宋体"/>
                <w:kern w:val="0"/>
                <w:szCs w:val="21"/>
              </w:rPr>
            </w:pPr>
            <w:r>
              <w:rPr>
                <w:rFonts w:hint="eastAsia" w:ascii="宋体" w:hAnsi="宋体" w:cs="宋体"/>
                <w:kern w:val="0"/>
                <w:szCs w:val="21"/>
              </w:rPr>
              <w:t>开标时间：招标人自定。</w:t>
            </w:r>
          </w:p>
          <w:p>
            <w:pPr>
              <w:snapToGrid w:val="0"/>
              <w:spacing w:line="360" w:lineRule="auto"/>
              <w:rPr>
                <w:rFonts w:ascii="宋体" w:hAnsi="宋体" w:cs="宋体"/>
                <w:kern w:val="0"/>
                <w:szCs w:val="21"/>
                <w:u w:val="single"/>
              </w:rPr>
            </w:pPr>
            <w:r>
              <w:rPr>
                <w:rFonts w:hint="eastAsia" w:ascii="宋体" w:hAnsi="宋体" w:cs="宋体"/>
                <w:kern w:val="0"/>
                <w:szCs w:val="21"/>
              </w:rPr>
              <w:t>开标地点：中机中联工程有限公司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69" w:type="dxa"/>
            <w:vAlign w:val="center"/>
          </w:tcPr>
          <w:p>
            <w:pPr>
              <w:snapToGrid w:val="0"/>
              <w:spacing w:line="360" w:lineRule="auto"/>
              <w:jc w:val="center"/>
              <w:rPr>
                <w:rFonts w:ascii="宋体" w:hAnsi="宋体" w:cs="宋体"/>
                <w:szCs w:val="21"/>
              </w:rPr>
            </w:pPr>
            <w:r>
              <w:rPr>
                <w:rFonts w:hint="eastAsia" w:ascii="宋体" w:hAnsi="宋体" w:cs="宋体"/>
                <w:szCs w:val="21"/>
              </w:rPr>
              <w:t>5.2</w:t>
            </w:r>
          </w:p>
        </w:tc>
        <w:tc>
          <w:tcPr>
            <w:tcW w:w="1119" w:type="dxa"/>
            <w:vAlign w:val="center"/>
          </w:tcPr>
          <w:p>
            <w:pPr>
              <w:snapToGrid w:val="0"/>
              <w:spacing w:line="360" w:lineRule="auto"/>
              <w:jc w:val="center"/>
              <w:rPr>
                <w:rFonts w:ascii="宋体" w:hAnsi="宋体" w:cs="宋体"/>
                <w:szCs w:val="21"/>
              </w:rPr>
            </w:pPr>
            <w:r>
              <w:rPr>
                <w:rFonts w:hint="eastAsia" w:ascii="宋体" w:hAnsi="宋体" w:cs="宋体"/>
                <w:szCs w:val="21"/>
              </w:rPr>
              <w:t>开标程序</w:t>
            </w:r>
          </w:p>
        </w:tc>
        <w:tc>
          <w:tcPr>
            <w:tcW w:w="7375" w:type="dxa"/>
            <w:vAlign w:val="center"/>
          </w:tcPr>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kern w:val="0"/>
                <w:szCs w:val="21"/>
              </w:rPr>
              <w:t>招标人按照公司规定自行组织开标，投标人不参加开标程序。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69" w:type="dxa"/>
            <w:vAlign w:val="center"/>
          </w:tcPr>
          <w:p>
            <w:pPr>
              <w:snapToGrid w:val="0"/>
              <w:spacing w:line="360" w:lineRule="auto"/>
              <w:rPr>
                <w:rFonts w:ascii="宋体" w:hAnsi="宋体" w:cs="宋体"/>
                <w:kern w:val="0"/>
                <w:szCs w:val="21"/>
              </w:rPr>
            </w:pPr>
            <w:r>
              <w:rPr>
                <w:rFonts w:hint="eastAsia" w:ascii="宋体" w:hAnsi="宋体" w:cs="宋体"/>
                <w:kern w:val="0"/>
                <w:szCs w:val="21"/>
              </w:rPr>
              <w:t>6.1.1</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评标委员会的组建</w:t>
            </w:r>
          </w:p>
        </w:tc>
        <w:tc>
          <w:tcPr>
            <w:tcW w:w="7375" w:type="dxa"/>
            <w:vAlign w:val="center"/>
          </w:tcPr>
          <w:p>
            <w:pPr>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招标人根据招标人公司规定自行组建。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1069" w:type="dxa"/>
            <w:vAlign w:val="center"/>
          </w:tcPr>
          <w:p>
            <w:pPr>
              <w:snapToGrid w:val="0"/>
              <w:spacing w:line="360" w:lineRule="auto"/>
              <w:rPr>
                <w:rFonts w:ascii="宋体" w:hAnsi="宋体" w:cs="宋体"/>
                <w:kern w:val="0"/>
                <w:szCs w:val="21"/>
              </w:rPr>
            </w:pPr>
            <w:r>
              <w:rPr>
                <w:rFonts w:hint="eastAsia" w:ascii="宋体" w:hAnsi="宋体" w:cs="宋体"/>
                <w:kern w:val="0"/>
                <w:szCs w:val="21"/>
              </w:rPr>
              <w:t>7.3.1</w:t>
            </w:r>
          </w:p>
        </w:tc>
        <w:tc>
          <w:tcPr>
            <w:tcW w:w="1119" w:type="dxa"/>
            <w:vAlign w:val="center"/>
          </w:tcPr>
          <w:p>
            <w:pPr>
              <w:snapToGrid w:val="0"/>
              <w:spacing w:line="360" w:lineRule="auto"/>
              <w:rPr>
                <w:rFonts w:ascii="宋体" w:hAnsi="宋体" w:cs="宋体"/>
                <w:kern w:val="0"/>
                <w:szCs w:val="21"/>
              </w:rPr>
            </w:pPr>
            <w:r>
              <w:rPr>
                <w:rFonts w:hint="eastAsia" w:ascii="宋体" w:hAnsi="宋体" w:cs="宋体"/>
                <w:kern w:val="0"/>
                <w:szCs w:val="21"/>
              </w:rPr>
              <w:t>履约担保</w:t>
            </w:r>
          </w:p>
        </w:tc>
        <w:tc>
          <w:tcPr>
            <w:tcW w:w="7375" w:type="dxa"/>
            <w:vAlign w:val="center"/>
          </w:tcPr>
          <w:p>
            <w:pPr>
              <w:spacing w:line="360" w:lineRule="auto"/>
              <w:ind w:firstLine="420" w:firstLineChars="200"/>
              <w:rPr>
                <w:rFonts w:ascii="宋体" w:hAnsi="宋体" w:cs="宋体"/>
                <w:kern w:val="0"/>
                <w:szCs w:val="21"/>
              </w:rPr>
            </w:pPr>
            <w:r>
              <w:rPr>
                <w:rFonts w:hint="eastAsia" w:ascii="宋体" w:hAnsi="宋体" w:cs="宋体"/>
                <w:kern w:val="0"/>
                <w:szCs w:val="21"/>
              </w:rPr>
              <w:t>一、履约保证金的交纳</w:t>
            </w:r>
          </w:p>
          <w:p>
            <w:pPr>
              <w:spacing w:line="360" w:lineRule="auto"/>
              <w:ind w:firstLine="420" w:firstLineChars="200"/>
              <w:rPr>
                <w:rFonts w:ascii="宋体" w:hAnsi="宋体" w:cs="宋体"/>
                <w:kern w:val="0"/>
                <w:szCs w:val="21"/>
              </w:rPr>
            </w:pPr>
            <w:r>
              <w:rPr>
                <w:rFonts w:hint="eastAsia" w:ascii="宋体" w:hAnsi="宋体" w:cs="宋体"/>
                <w:kern w:val="0"/>
                <w:szCs w:val="21"/>
              </w:rPr>
              <w:t>1、履约保证金交款形式及要求：</w:t>
            </w:r>
          </w:p>
          <w:p>
            <w:pPr>
              <w:spacing w:line="360" w:lineRule="auto"/>
              <w:ind w:firstLine="420" w:firstLineChars="200"/>
              <w:rPr>
                <w:rFonts w:ascii="宋体" w:hAnsi="宋体" w:cs="宋体"/>
                <w:kern w:val="0"/>
                <w:szCs w:val="21"/>
              </w:rPr>
            </w:pPr>
            <w:r>
              <w:rPr>
                <w:rFonts w:hint="eastAsia" w:ascii="宋体" w:hAnsi="宋体" w:cs="宋体"/>
                <w:kern w:val="0"/>
                <w:szCs w:val="21"/>
              </w:rPr>
              <w:t>中标人从企业的基本账户（开户行）在合同签定后7日内通过转账支票直接划付或以电汇方式直接划付至招标人账户；若为银行保函，银行保函需采用签订本合同的基本账户开具。</w:t>
            </w:r>
          </w:p>
          <w:p>
            <w:pPr>
              <w:spacing w:line="360" w:lineRule="auto"/>
              <w:ind w:firstLine="420" w:firstLineChars="200"/>
              <w:rPr>
                <w:rFonts w:ascii="宋体" w:hAnsi="宋体" w:cs="宋体"/>
                <w:kern w:val="0"/>
                <w:szCs w:val="21"/>
              </w:rPr>
            </w:pPr>
            <w:r>
              <w:rPr>
                <w:rFonts w:hint="eastAsia" w:ascii="宋体" w:hAnsi="宋体" w:cs="宋体"/>
                <w:kern w:val="0"/>
                <w:szCs w:val="21"/>
              </w:rPr>
              <w:t>2、履约保证金的金额：合同总价的</w:t>
            </w:r>
            <w:r>
              <w:rPr>
                <w:rFonts w:hint="eastAsia" w:ascii="宋体" w:hAnsi="宋体" w:cs="宋体"/>
                <w:kern w:val="0"/>
                <w:szCs w:val="21"/>
                <w:u w:val="single"/>
              </w:rPr>
              <w:t>10</w:t>
            </w:r>
            <w:r>
              <w:rPr>
                <w:rFonts w:hint="eastAsia" w:ascii="宋体" w:hAnsi="宋体" w:cs="宋体"/>
                <w:kern w:val="0"/>
                <w:szCs w:val="21"/>
              </w:rPr>
              <w:t>%。</w:t>
            </w:r>
          </w:p>
          <w:p>
            <w:pPr>
              <w:spacing w:line="360" w:lineRule="auto"/>
              <w:ind w:firstLine="420" w:firstLineChars="200"/>
              <w:rPr>
                <w:rFonts w:ascii="宋体" w:hAnsi="宋体" w:cs="宋体"/>
                <w:kern w:val="0"/>
                <w:szCs w:val="21"/>
              </w:rPr>
            </w:pPr>
            <w:r>
              <w:rPr>
                <w:rFonts w:hint="eastAsia" w:ascii="宋体" w:hAnsi="宋体" w:cs="宋体"/>
                <w:kern w:val="0"/>
                <w:szCs w:val="21"/>
              </w:rPr>
              <w:t>3、招标人账户及账号：</w:t>
            </w:r>
          </w:p>
          <w:p>
            <w:pPr>
              <w:spacing w:line="360" w:lineRule="auto"/>
              <w:ind w:firstLine="420" w:firstLineChars="200"/>
              <w:rPr>
                <w:rFonts w:ascii="宋体" w:hAnsi="宋体" w:cs="宋体"/>
                <w:kern w:val="0"/>
                <w:szCs w:val="21"/>
              </w:rPr>
            </w:pPr>
            <w:r>
              <w:rPr>
                <w:rFonts w:hint="eastAsia" w:ascii="宋体" w:hAnsi="宋体" w:cs="宋体"/>
                <w:kern w:val="0"/>
                <w:szCs w:val="21"/>
              </w:rPr>
              <w:t>户名：中机中联工程有限公司</w:t>
            </w:r>
          </w:p>
          <w:p>
            <w:pPr>
              <w:spacing w:line="360" w:lineRule="auto"/>
              <w:ind w:firstLine="420" w:firstLineChars="200"/>
              <w:rPr>
                <w:rFonts w:ascii="宋体" w:hAnsi="宋体" w:cs="宋体"/>
                <w:kern w:val="0"/>
                <w:szCs w:val="21"/>
              </w:rPr>
            </w:pPr>
            <w:r>
              <w:rPr>
                <w:rFonts w:hint="eastAsia" w:ascii="宋体" w:hAnsi="宋体" w:cs="宋体"/>
                <w:kern w:val="0"/>
                <w:szCs w:val="21"/>
              </w:rPr>
              <w:t>开户银行：中国建设银行股份有限公司重庆九龙坡石桥铺支行</w:t>
            </w:r>
          </w:p>
          <w:p>
            <w:pPr>
              <w:spacing w:line="360" w:lineRule="auto"/>
              <w:ind w:firstLine="420" w:firstLineChars="200"/>
              <w:rPr>
                <w:rFonts w:ascii="宋体" w:hAnsi="宋体" w:cs="宋体"/>
                <w:kern w:val="0"/>
                <w:szCs w:val="21"/>
              </w:rPr>
            </w:pPr>
            <w:r>
              <w:rPr>
                <w:rFonts w:hint="eastAsia" w:ascii="宋体" w:hAnsi="宋体" w:cs="宋体"/>
                <w:kern w:val="0"/>
                <w:szCs w:val="21"/>
              </w:rPr>
              <w:t>银行帐号：50001045000059888888</w:t>
            </w:r>
          </w:p>
          <w:p>
            <w:pPr>
              <w:spacing w:line="360" w:lineRule="auto"/>
              <w:ind w:firstLine="420" w:firstLineChars="200"/>
              <w:rPr>
                <w:rFonts w:ascii="宋体" w:hAnsi="宋体" w:cs="宋体"/>
                <w:kern w:val="0"/>
                <w:szCs w:val="21"/>
              </w:rPr>
            </w:pPr>
            <w:r>
              <w:rPr>
                <w:rFonts w:hint="eastAsia" w:ascii="宋体" w:hAnsi="宋体" w:cs="宋体"/>
                <w:kern w:val="0"/>
                <w:szCs w:val="21"/>
              </w:rPr>
              <w:t>4、中标人必须在付款凭证备注栏中注明是“----项目分包履约保证金”。</w:t>
            </w:r>
          </w:p>
          <w:p>
            <w:pPr>
              <w:spacing w:line="360" w:lineRule="auto"/>
              <w:ind w:firstLine="420" w:firstLineChars="200"/>
              <w:rPr>
                <w:rFonts w:ascii="宋体" w:hAnsi="宋体" w:cs="宋体"/>
                <w:kern w:val="0"/>
                <w:szCs w:val="21"/>
              </w:rPr>
            </w:pPr>
            <w:r>
              <w:rPr>
                <w:rFonts w:hint="eastAsia" w:ascii="宋体" w:hAnsi="宋体" w:cs="宋体"/>
                <w:kern w:val="0"/>
                <w:szCs w:val="21"/>
              </w:rPr>
              <w:t>5、履约保证金有效期：至竣工验收合格之日止。</w:t>
            </w:r>
          </w:p>
          <w:p>
            <w:pPr>
              <w:spacing w:line="360" w:lineRule="auto"/>
              <w:ind w:firstLine="420" w:firstLineChars="200"/>
              <w:rPr>
                <w:rFonts w:ascii="宋体" w:hAnsi="宋体" w:cs="宋体"/>
                <w:kern w:val="0"/>
                <w:szCs w:val="21"/>
              </w:rPr>
            </w:pPr>
            <w:r>
              <w:rPr>
                <w:rFonts w:hint="eastAsia" w:ascii="宋体" w:hAnsi="宋体" w:cs="宋体"/>
                <w:kern w:val="0"/>
                <w:szCs w:val="21"/>
              </w:rPr>
              <w:t>二、履约保证金的退还</w:t>
            </w:r>
          </w:p>
          <w:p>
            <w:pPr>
              <w:spacing w:line="360" w:lineRule="auto"/>
              <w:ind w:firstLine="420" w:firstLineChars="200"/>
              <w:rPr>
                <w:rFonts w:ascii="宋体" w:hAnsi="宋体" w:cs="宋体"/>
                <w:kern w:val="0"/>
                <w:szCs w:val="21"/>
              </w:rPr>
            </w:pPr>
            <w:r>
              <w:rPr>
                <w:rFonts w:hint="eastAsia" w:ascii="宋体" w:hAnsi="宋体" w:cs="宋体"/>
                <w:kern w:val="0"/>
                <w:szCs w:val="21"/>
              </w:rPr>
              <w:t>1、该履约保证金在该工程验收合格，减去处应扣除金额后，随工程款支付时退换（不计利息）。</w:t>
            </w:r>
          </w:p>
          <w:p>
            <w:pPr>
              <w:spacing w:line="360" w:lineRule="auto"/>
              <w:ind w:firstLine="420" w:firstLineChars="200"/>
              <w:rPr>
                <w:rFonts w:ascii="宋体" w:hAnsi="宋体" w:cs="宋体"/>
                <w:kern w:val="0"/>
                <w:szCs w:val="21"/>
              </w:rPr>
            </w:pPr>
            <w:r>
              <w:rPr>
                <w:rFonts w:hint="eastAsia" w:ascii="宋体" w:hAnsi="宋体" w:cs="宋体"/>
                <w:kern w:val="0"/>
                <w:szCs w:val="21"/>
              </w:rPr>
              <w:t>2、退还方式：该履约保证金在该工程验收合格，减去处应扣除金额后，随工程款支付时退换（不计利息）。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5" w:hRule="atLeast"/>
          <w:jc w:val="center"/>
        </w:trPr>
        <w:tc>
          <w:tcPr>
            <w:tcW w:w="1069" w:type="dxa"/>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8.1</w:t>
            </w:r>
          </w:p>
        </w:tc>
        <w:tc>
          <w:tcPr>
            <w:tcW w:w="1119" w:type="dxa"/>
            <w:vAlign w:val="center"/>
          </w:tcPr>
          <w:p>
            <w:pPr>
              <w:pStyle w:val="4"/>
              <w:snapToGrid w:val="0"/>
              <w:spacing w:line="360" w:lineRule="auto"/>
              <w:rPr>
                <w:rFonts w:ascii="宋体" w:hAnsi="宋体" w:cs="宋体"/>
                <w:b w:val="0"/>
                <w:sz w:val="21"/>
                <w:szCs w:val="21"/>
              </w:rPr>
            </w:pPr>
            <w:r>
              <w:rPr>
                <w:rFonts w:hint="eastAsia" w:ascii="宋体" w:hAnsi="宋体" w:cs="宋体"/>
                <w:b w:val="0"/>
                <w:sz w:val="21"/>
                <w:szCs w:val="21"/>
              </w:rPr>
              <w:t>重新招标</w:t>
            </w:r>
          </w:p>
        </w:tc>
        <w:tc>
          <w:tcPr>
            <w:tcW w:w="7375" w:type="dxa"/>
            <w:vAlign w:val="center"/>
          </w:tcPr>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有下列情形之一的，招标人将重新招标；</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（1）投标截至时间止，投标人少于3个的；</w:t>
            </w:r>
          </w:p>
          <w:p>
            <w:pPr>
              <w:autoSpaceDE w:val="0"/>
              <w:autoSpaceDN w:val="0"/>
              <w:adjustRightInd w:val="0"/>
              <w:snapToGrid w:val="0"/>
              <w:spacing w:line="360" w:lineRule="auto"/>
              <w:ind w:firstLine="420"/>
              <w:jc w:val="left"/>
              <w:rPr>
                <w:rFonts w:ascii="宋体" w:hAnsi="宋体" w:cs="宋体"/>
                <w:kern w:val="0"/>
                <w:szCs w:val="21"/>
              </w:rPr>
            </w:pPr>
            <w:r>
              <w:rPr>
                <w:rFonts w:hint="eastAsia" w:ascii="宋体" w:hAnsi="宋体" w:cs="宋体"/>
                <w:kern w:val="0"/>
                <w:szCs w:val="21"/>
              </w:rPr>
              <w:t>（2）经评标委员会评审后否决所有投标的。</w:t>
            </w:r>
          </w:p>
        </w:tc>
      </w:tr>
    </w:tbl>
    <w:p>
      <w:pPr>
        <w:rPr>
          <w:rFonts w:ascii="宋体" w:hAnsi="宋体" w:cs="宋体"/>
        </w:rPr>
      </w:pPr>
    </w:p>
    <w:p>
      <w:pPr>
        <w:pStyle w:val="3"/>
        <w:rPr>
          <w:rFonts w:ascii="宋体" w:hAnsi="宋体" w:cs="宋体"/>
          <w:snapToGrid w:val="0"/>
          <w:sz w:val="21"/>
          <w:szCs w:val="21"/>
        </w:rPr>
      </w:pPr>
      <w:r>
        <w:rPr>
          <w:rFonts w:hint="eastAsia" w:ascii="宋体" w:hAnsi="宋体" w:cs="宋体"/>
          <w:snapToGrid w:val="0"/>
          <w:sz w:val="21"/>
          <w:szCs w:val="21"/>
        </w:rPr>
        <w:t>1.  总则</w:t>
      </w:r>
    </w:p>
    <w:p>
      <w:pPr>
        <w:pStyle w:val="4"/>
        <w:snapToGrid w:val="0"/>
        <w:spacing w:before="0" w:line="360" w:lineRule="auto"/>
        <w:rPr>
          <w:rFonts w:ascii="宋体" w:hAnsi="宋体" w:cs="宋体"/>
          <w:snapToGrid w:val="0"/>
          <w:sz w:val="21"/>
          <w:szCs w:val="21"/>
        </w:rPr>
      </w:pPr>
      <w:bookmarkStart w:id="38" w:name="_Toc387312412"/>
      <w:bookmarkStart w:id="39" w:name="_Toc200513127"/>
      <w:r>
        <w:rPr>
          <w:rFonts w:hint="eastAsia" w:ascii="宋体" w:hAnsi="宋体" w:cs="宋体"/>
          <w:snapToGrid w:val="0"/>
          <w:sz w:val="21"/>
          <w:szCs w:val="21"/>
        </w:rPr>
        <w:t>1.1  项目概况</w:t>
      </w:r>
      <w:bookmarkEnd w:id="38"/>
      <w:bookmarkEnd w:id="39"/>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1.1.1  根据《中华人民共和国招标投标法》等有关法律、法规和规章的规定，本招标项目已具备招标条件，现对本标段劳务施工进行招标。</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1.1.2  本招标项目招标人：见投标人须知前附表。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1.1.3  本标段招标代理机构：见投标人须知前附表。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1.1.4  本招标项目名称：见投标人须知前附表。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1.1.5  本标段建设地点：见投标人须知前附表。</w:t>
      </w:r>
    </w:p>
    <w:p>
      <w:pPr>
        <w:pStyle w:val="4"/>
        <w:snapToGrid w:val="0"/>
        <w:spacing w:before="0" w:line="360" w:lineRule="auto"/>
        <w:rPr>
          <w:rFonts w:ascii="宋体" w:hAnsi="宋体" w:cs="宋体"/>
          <w:snapToGrid w:val="0"/>
          <w:sz w:val="21"/>
          <w:szCs w:val="21"/>
        </w:rPr>
      </w:pPr>
      <w:bookmarkStart w:id="40" w:name="_Toc200513128"/>
      <w:bookmarkStart w:id="41" w:name="_Toc387312413"/>
      <w:r>
        <w:rPr>
          <w:rFonts w:hint="eastAsia" w:ascii="宋体" w:hAnsi="宋体" w:cs="宋体"/>
          <w:snapToGrid w:val="0"/>
          <w:sz w:val="21"/>
          <w:szCs w:val="21"/>
        </w:rPr>
        <w:t>1.2  资金来源和落实情况</w:t>
      </w:r>
      <w:bookmarkEnd w:id="40"/>
      <w:bookmarkEnd w:id="41"/>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1.2.1  本招标项目的资金来源：见投标人须知前附表。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1.2.2  本招标项目的资金落实情况：见投标人须知前附表。</w:t>
      </w:r>
    </w:p>
    <w:p>
      <w:pPr>
        <w:pStyle w:val="4"/>
        <w:snapToGrid w:val="0"/>
        <w:spacing w:before="0" w:line="360" w:lineRule="auto"/>
        <w:rPr>
          <w:rFonts w:ascii="宋体" w:hAnsi="宋体" w:cs="宋体"/>
          <w:snapToGrid w:val="0"/>
          <w:sz w:val="21"/>
          <w:szCs w:val="21"/>
        </w:rPr>
      </w:pPr>
      <w:bookmarkStart w:id="42" w:name="_Toc387312414"/>
      <w:bookmarkStart w:id="43" w:name="_Toc200513129"/>
      <w:r>
        <w:rPr>
          <w:rFonts w:hint="eastAsia" w:ascii="宋体" w:hAnsi="宋体" w:cs="宋体"/>
          <w:snapToGrid w:val="0"/>
          <w:sz w:val="21"/>
          <w:szCs w:val="21"/>
        </w:rPr>
        <w:t>1.3  招标范围、计划工期和质量要求</w:t>
      </w:r>
      <w:bookmarkEnd w:id="42"/>
      <w:bookmarkEnd w:id="43"/>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1.3.1  本次招标范围：见投标人须知前附表。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1.3.2  本标段的计划工期：见投标人须知前附表。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1.3.3  本标段的质量要求：见投标人须知前附表。</w:t>
      </w:r>
    </w:p>
    <w:p>
      <w:pPr>
        <w:pStyle w:val="4"/>
        <w:snapToGrid w:val="0"/>
        <w:spacing w:before="0" w:line="360" w:lineRule="auto"/>
        <w:rPr>
          <w:rFonts w:ascii="宋体" w:hAnsi="宋体" w:cs="宋体"/>
          <w:snapToGrid w:val="0"/>
          <w:sz w:val="21"/>
          <w:szCs w:val="21"/>
        </w:rPr>
      </w:pPr>
      <w:bookmarkStart w:id="44" w:name="_Toc200513131"/>
      <w:bookmarkStart w:id="45" w:name="_Toc387312415"/>
      <w:r>
        <w:rPr>
          <w:rFonts w:hint="eastAsia" w:ascii="宋体" w:hAnsi="宋体" w:cs="宋体"/>
          <w:snapToGrid w:val="0"/>
          <w:sz w:val="21"/>
          <w:szCs w:val="21"/>
        </w:rPr>
        <w:t>1.4  投标人资格要求</w:t>
      </w:r>
      <w:bookmarkEnd w:id="44"/>
      <w:bookmarkEnd w:id="45"/>
    </w:p>
    <w:p>
      <w:pPr>
        <w:autoSpaceDE w:val="0"/>
        <w:autoSpaceDN w:val="0"/>
        <w:adjustRightInd w:val="0"/>
        <w:snapToGrid w:val="0"/>
        <w:spacing w:line="360" w:lineRule="auto"/>
        <w:ind w:firstLine="359" w:firstLineChars="171"/>
        <w:jc w:val="left"/>
        <w:rPr>
          <w:rFonts w:ascii="宋体" w:hAnsi="宋体" w:cs="宋体"/>
          <w:snapToGrid w:val="0"/>
          <w:kern w:val="0"/>
          <w:szCs w:val="21"/>
        </w:rPr>
      </w:pPr>
      <w:bookmarkStart w:id="46" w:name="_Toc387312416"/>
      <w:bookmarkStart w:id="47" w:name="_Toc200513132"/>
      <w:r>
        <w:rPr>
          <w:rFonts w:hint="eastAsia" w:ascii="宋体" w:hAnsi="宋体" w:cs="宋体"/>
          <w:snapToGrid w:val="0"/>
          <w:kern w:val="0"/>
          <w:szCs w:val="21"/>
        </w:rPr>
        <w:t>1.4.1投标人应具备承担本标段施工的资质条件、能力和信誉。</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w:t>
      </w:r>
      <w:r>
        <w:rPr>
          <w:rFonts w:hint="eastAsia" w:ascii="宋体" w:hAnsi="宋体" w:cs="宋体"/>
          <w:szCs w:val="21"/>
        </w:rPr>
        <w:t>资质条件、营业执照及安全生产条件</w:t>
      </w:r>
      <w:r>
        <w:rPr>
          <w:rFonts w:hint="eastAsia" w:ascii="宋体" w:hAnsi="宋体" w:cs="宋体"/>
          <w:snapToGrid w:val="0"/>
          <w:kern w:val="0"/>
          <w:szCs w:val="21"/>
        </w:rPr>
        <w:t>：见投标人须知前附表；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（2）业绩要求：见投标人须知前附表；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（3）项目经理资格：见投标人须知前附表；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（4）其他要求：见投标人须知前附表。</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1.4.2投标人须知前附表规定不接受联合体投标。</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1.4.3投标人不得存在下列情形之一：</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position w:val="-2"/>
          <w:szCs w:val="21"/>
        </w:rPr>
        <w:t>（1）与招标人存在利害关系可能影响招标公正性的法人、其他组织或者个人；</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（2）被责令停业的；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（3）被暂停或取消投标资格的；</w:t>
      </w:r>
    </w:p>
    <w:p>
      <w:pPr>
        <w:autoSpaceDE w:val="0"/>
        <w:autoSpaceDN w:val="0"/>
        <w:adjustRightInd w:val="0"/>
        <w:snapToGrid w:val="0"/>
        <w:spacing w:line="360" w:lineRule="auto"/>
        <w:ind w:firstLine="359" w:firstLineChars="171"/>
        <w:jc w:val="left"/>
        <w:rPr>
          <w:rFonts w:ascii="宋体" w:hAnsi="宋体" w:cs="宋体"/>
          <w:snapToGrid w:val="0"/>
          <w:kern w:val="0"/>
          <w:szCs w:val="21"/>
        </w:rPr>
      </w:pPr>
      <w:r>
        <w:rPr>
          <w:rFonts w:hint="eastAsia" w:ascii="宋体" w:hAnsi="宋体" w:cs="宋体"/>
          <w:snapToGrid w:val="0"/>
          <w:kern w:val="0"/>
          <w:szCs w:val="21"/>
        </w:rPr>
        <w:t>（4）财产被接管或冻结的；</w:t>
      </w:r>
    </w:p>
    <w:p>
      <w:pPr>
        <w:tabs>
          <w:tab w:val="left" w:pos="2060"/>
          <w:tab w:val="left" w:pos="8205"/>
        </w:tabs>
        <w:autoSpaceDE w:val="0"/>
        <w:autoSpaceDN w:val="0"/>
        <w:adjustRightInd w:val="0"/>
        <w:snapToGrid w:val="0"/>
        <w:spacing w:line="360" w:lineRule="auto"/>
        <w:ind w:firstLine="405" w:firstLineChars="193"/>
        <w:jc w:val="left"/>
        <w:rPr>
          <w:rFonts w:ascii="宋体" w:hAnsi="宋体" w:cs="宋体"/>
          <w:snapToGrid w:val="0"/>
          <w:kern w:val="0"/>
          <w:szCs w:val="21"/>
        </w:rPr>
      </w:pPr>
      <w:r>
        <w:rPr>
          <w:rFonts w:hint="eastAsia" w:ascii="宋体" w:hAnsi="宋体" w:cs="宋体"/>
          <w:snapToGrid w:val="0"/>
          <w:kern w:val="0"/>
          <w:szCs w:val="21"/>
        </w:rPr>
        <w:t>（5）</w:t>
      </w:r>
      <w:r>
        <w:rPr>
          <w:rFonts w:hint="eastAsia" w:ascii="宋体" w:hAnsi="宋体" w:cs="宋体"/>
          <w:szCs w:val="21"/>
        </w:rPr>
        <w:t>单位负责人为同一人或者存在控股、管理关系的不同单位，不得在同一标段中同时投标</w:t>
      </w:r>
      <w:r>
        <w:rPr>
          <w:rFonts w:hint="eastAsia" w:ascii="宋体" w:hAnsi="宋体" w:cs="宋体"/>
          <w:snapToGrid w:val="0"/>
          <w:kern w:val="0"/>
          <w:szCs w:val="21"/>
        </w:rPr>
        <w:t>。</w:t>
      </w:r>
    </w:p>
    <w:p>
      <w:pPr>
        <w:tabs>
          <w:tab w:val="left" w:pos="2060"/>
          <w:tab w:val="left" w:pos="8205"/>
        </w:tabs>
        <w:autoSpaceDE w:val="0"/>
        <w:autoSpaceDN w:val="0"/>
        <w:adjustRightInd w:val="0"/>
        <w:snapToGrid w:val="0"/>
        <w:spacing w:line="360" w:lineRule="auto"/>
        <w:ind w:firstLine="405" w:firstLineChars="193"/>
        <w:jc w:val="left"/>
        <w:rPr>
          <w:rFonts w:ascii="宋体" w:hAnsi="宋体" w:cs="宋体"/>
          <w:snapToGrid w:val="0"/>
          <w:kern w:val="0"/>
          <w:szCs w:val="21"/>
        </w:rPr>
      </w:pPr>
      <w:r>
        <w:rPr>
          <w:rFonts w:hint="eastAsia" w:ascii="宋体" w:hAnsi="宋体" w:cs="宋体"/>
          <w:snapToGrid w:val="0"/>
          <w:kern w:val="0"/>
          <w:szCs w:val="21"/>
        </w:rPr>
        <w:t>（6）具有投资参股关系的关联企业，或具有直接管理和被管理关系的母子公司，或同一母子公司的子公司，或法定代表人为同一个人的两个及两个以上法人不得同时对同一标段投标。</w:t>
      </w:r>
    </w:p>
    <w:p>
      <w:pPr>
        <w:tabs>
          <w:tab w:val="left" w:pos="2060"/>
          <w:tab w:val="left" w:pos="8205"/>
        </w:tabs>
        <w:autoSpaceDE w:val="0"/>
        <w:autoSpaceDN w:val="0"/>
        <w:adjustRightInd w:val="0"/>
        <w:snapToGrid w:val="0"/>
        <w:spacing w:line="360" w:lineRule="auto"/>
        <w:ind w:firstLine="405" w:firstLineChars="193"/>
        <w:jc w:val="left"/>
        <w:rPr>
          <w:rFonts w:ascii="宋体" w:hAnsi="宋体" w:cs="宋体"/>
          <w:snapToGrid w:val="0"/>
          <w:kern w:val="0"/>
          <w:szCs w:val="21"/>
        </w:rPr>
      </w:pPr>
      <w:r>
        <w:rPr>
          <w:rFonts w:hint="eastAsia" w:ascii="宋体" w:hAnsi="宋体" w:cs="宋体"/>
          <w:snapToGrid w:val="0"/>
          <w:kern w:val="0"/>
          <w:szCs w:val="21"/>
        </w:rPr>
        <w:t>（7）投标人不能被纳入地方或国家的不良记录。</w:t>
      </w:r>
    </w:p>
    <w:p>
      <w:pPr>
        <w:pStyle w:val="4"/>
        <w:snapToGrid w:val="0"/>
        <w:spacing w:before="0" w:line="360" w:lineRule="auto"/>
        <w:rPr>
          <w:rFonts w:ascii="宋体" w:hAnsi="宋体" w:cs="宋体"/>
          <w:snapToGrid w:val="0"/>
          <w:sz w:val="21"/>
          <w:szCs w:val="21"/>
        </w:rPr>
      </w:pPr>
      <w:r>
        <w:rPr>
          <w:rFonts w:hint="eastAsia" w:ascii="宋体" w:hAnsi="宋体" w:cs="宋体"/>
          <w:snapToGrid w:val="0"/>
          <w:sz w:val="21"/>
          <w:szCs w:val="21"/>
        </w:rPr>
        <w:t>1.5  费用承担</w:t>
      </w:r>
      <w:bookmarkEnd w:id="46"/>
      <w:bookmarkEnd w:id="47"/>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投标人准备和参加投标活动发生的费用自理。</w:t>
      </w:r>
    </w:p>
    <w:p>
      <w:pPr>
        <w:pStyle w:val="4"/>
        <w:snapToGrid w:val="0"/>
        <w:spacing w:before="0" w:line="360" w:lineRule="auto"/>
        <w:rPr>
          <w:rFonts w:ascii="宋体" w:hAnsi="宋体" w:cs="宋体"/>
          <w:snapToGrid w:val="0"/>
          <w:sz w:val="21"/>
          <w:szCs w:val="21"/>
        </w:rPr>
      </w:pPr>
      <w:bookmarkStart w:id="48" w:name="_Toc387312417"/>
      <w:bookmarkStart w:id="49" w:name="_Toc200513133"/>
      <w:r>
        <w:rPr>
          <w:rFonts w:hint="eastAsia" w:ascii="宋体" w:hAnsi="宋体" w:cs="宋体"/>
          <w:snapToGrid w:val="0"/>
          <w:sz w:val="21"/>
          <w:szCs w:val="21"/>
        </w:rPr>
        <w:t>1.6  保密</w:t>
      </w:r>
      <w:bookmarkEnd w:id="48"/>
      <w:bookmarkEnd w:id="49"/>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参与招标投标活动的各方应对招标文件和投标文件中的商业和技术等秘密保密，违者应对由此造成的后果承担法律责任。</w:t>
      </w:r>
    </w:p>
    <w:p>
      <w:pPr>
        <w:pStyle w:val="4"/>
        <w:snapToGrid w:val="0"/>
        <w:spacing w:before="0" w:line="360" w:lineRule="auto"/>
        <w:rPr>
          <w:rFonts w:ascii="宋体" w:hAnsi="宋体" w:cs="宋体"/>
          <w:snapToGrid w:val="0"/>
          <w:sz w:val="21"/>
          <w:szCs w:val="21"/>
        </w:rPr>
      </w:pPr>
      <w:bookmarkStart w:id="50" w:name="_Toc200513134"/>
      <w:bookmarkStart w:id="51" w:name="_Toc387312418"/>
      <w:r>
        <w:rPr>
          <w:rFonts w:hint="eastAsia" w:ascii="宋体" w:hAnsi="宋体" w:cs="宋体"/>
          <w:snapToGrid w:val="0"/>
          <w:sz w:val="21"/>
          <w:szCs w:val="21"/>
        </w:rPr>
        <w:t>1.7  语言文字</w:t>
      </w:r>
      <w:bookmarkEnd w:id="50"/>
      <w:bookmarkEnd w:id="5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除专用术语外，与招标投标有关的语言均使用中文。必要时专用术语应附有中文注释。</w:t>
      </w:r>
    </w:p>
    <w:p>
      <w:pPr>
        <w:pStyle w:val="4"/>
        <w:snapToGrid w:val="0"/>
        <w:spacing w:before="0" w:line="360" w:lineRule="auto"/>
        <w:rPr>
          <w:rFonts w:ascii="宋体" w:hAnsi="宋体" w:cs="宋体"/>
          <w:snapToGrid w:val="0"/>
          <w:sz w:val="22"/>
          <w:szCs w:val="21"/>
        </w:rPr>
      </w:pPr>
      <w:bookmarkStart w:id="52" w:name="_Toc200513135"/>
      <w:bookmarkStart w:id="53" w:name="_Toc387312419"/>
      <w:r>
        <w:rPr>
          <w:rFonts w:hint="eastAsia" w:ascii="宋体" w:hAnsi="宋体" w:cs="宋体"/>
          <w:snapToGrid w:val="0"/>
          <w:sz w:val="22"/>
          <w:szCs w:val="21"/>
        </w:rPr>
        <w:t>1.8  计量单位</w:t>
      </w:r>
      <w:bookmarkEnd w:id="52"/>
      <w:bookmarkEnd w:id="53"/>
    </w:p>
    <w:p>
      <w:pPr>
        <w:autoSpaceDE w:val="0"/>
        <w:autoSpaceDN w:val="0"/>
        <w:adjustRightInd w:val="0"/>
        <w:snapToGrid w:val="0"/>
        <w:spacing w:line="360" w:lineRule="auto"/>
        <w:ind w:firstLine="424" w:firstLineChars="202"/>
        <w:jc w:val="left"/>
        <w:rPr>
          <w:rFonts w:ascii="宋体" w:hAnsi="宋体" w:cs="宋体"/>
          <w:snapToGrid w:val="0"/>
          <w:kern w:val="0"/>
          <w:szCs w:val="21"/>
        </w:rPr>
      </w:pPr>
      <w:r>
        <w:rPr>
          <w:rFonts w:hint="eastAsia" w:ascii="宋体" w:hAnsi="宋体" w:cs="宋体"/>
          <w:snapToGrid w:val="0"/>
          <w:kern w:val="0"/>
          <w:szCs w:val="21"/>
        </w:rPr>
        <w:t>所有计量均采用中华人民共和国法定计量单位。</w:t>
      </w:r>
    </w:p>
    <w:p>
      <w:pPr>
        <w:pStyle w:val="4"/>
        <w:snapToGrid w:val="0"/>
        <w:spacing w:before="0" w:line="360" w:lineRule="auto"/>
        <w:rPr>
          <w:rFonts w:ascii="宋体" w:hAnsi="宋体" w:cs="宋体"/>
          <w:snapToGrid w:val="0"/>
          <w:sz w:val="21"/>
          <w:szCs w:val="21"/>
        </w:rPr>
      </w:pPr>
      <w:bookmarkStart w:id="54" w:name="_Toc387312420"/>
      <w:bookmarkStart w:id="55" w:name="_Toc200513136"/>
      <w:r>
        <w:rPr>
          <w:rFonts w:hint="eastAsia" w:ascii="宋体" w:hAnsi="宋体" w:cs="宋体"/>
          <w:snapToGrid w:val="0"/>
          <w:sz w:val="21"/>
          <w:szCs w:val="21"/>
        </w:rPr>
        <w:t>1.9  踏勘现场</w:t>
      </w:r>
      <w:bookmarkEnd w:id="54"/>
      <w:bookmarkEnd w:id="55"/>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 xml:space="preserve">1.9.1  </w:t>
      </w:r>
      <w:r>
        <w:rPr>
          <w:rFonts w:hint="eastAsia" w:ascii="宋体" w:hAnsi="宋体" w:cs="宋体"/>
          <w:kern w:val="0"/>
          <w:szCs w:val="21"/>
        </w:rPr>
        <w:t>招标人不组织，投标人自行踏勘现场</w:t>
      </w:r>
      <w:r>
        <w:rPr>
          <w:rFonts w:hint="eastAsia" w:ascii="宋体" w:hAnsi="宋体" w:cs="宋体"/>
          <w:snapToGrid w:val="0"/>
          <w:kern w:val="0"/>
          <w:szCs w:val="21"/>
        </w:rPr>
        <w:t>。</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1.9.2  投标人踏勘现场发生的费用自理。</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1.9.3  除招标人的原因外，投标人自行负责在踏勘现场中所发生的人员伤亡和财产损失。</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1.9.4  招标人在踏勘现场中介绍的工程场地和相关的周边环境情况，供投标人在编制投标文件时参考，招标人不对投标人据此做出的判断和决策负责。</w:t>
      </w:r>
    </w:p>
    <w:p>
      <w:pPr>
        <w:pStyle w:val="4"/>
        <w:snapToGrid w:val="0"/>
        <w:spacing w:before="0" w:line="360" w:lineRule="auto"/>
        <w:rPr>
          <w:rFonts w:ascii="宋体" w:hAnsi="宋体" w:cs="宋体"/>
          <w:snapToGrid w:val="0"/>
          <w:sz w:val="21"/>
          <w:szCs w:val="21"/>
        </w:rPr>
      </w:pPr>
      <w:bookmarkStart w:id="56" w:name="_Toc200513137"/>
      <w:bookmarkStart w:id="57" w:name="_Toc387312421"/>
      <w:r>
        <w:rPr>
          <w:rFonts w:hint="eastAsia" w:ascii="宋体" w:hAnsi="宋体" w:cs="宋体"/>
          <w:snapToGrid w:val="0"/>
          <w:sz w:val="21"/>
          <w:szCs w:val="21"/>
        </w:rPr>
        <w:t>1.10  投标预备会</w:t>
      </w:r>
      <w:bookmarkEnd w:id="56"/>
      <w:bookmarkEnd w:id="57"/>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不组织</w:t>
      </w:r>
    </w:p>
    <w:p>
      <w:pPr>
        <w:pStyle w:val="4"/>
        <w:snapToGrid w:val="0"/>
        <w:spacing w:before="0" w:line="360" w:lineRule="auto"/>
        <w:rPr>
          <w:rFonts w:ascii="宋体" w:hAnsi="宋体" w:cs="宋体"/>
          <w:snapToGrid w:val="0"/>
          <w:sz w:val="21"/>
          <w:szCs w:val="21"/>
        </w:rPr>
      </w:pPr>
      <w:bookmarkStart w:id="58" w:name="_Toc200513138"/>
      <w:bookmarkStart w:id="59" w:name="_Toc387312422"/>
      <w:r>
        <w:rPr>
          <w:rFonts w:hint="eastAsia" w:ascii="宋体" w:hAnsi="宋体" w:cs="宋体"/>
          <w:snapToGrid w:val="0"/>
          <w:sz w:val="21"/>
          <w:szCs w:val="21"/>
        </w:rPr>
        <w:t>1.11  分包</w:t>
      </w:r>
      <w:bookmarkEnd w:id="58"/>
      <w:bookmarkEnd w:id="59"/>
    </w:p>
    <w:p>
      <w:pPr>
        <w:autoSpaceDE w:val="0"/>
        <w:autoSpaceDN w:val="0"/>
        <w:adjustRightInd w:val="0"/>
        <w:snapToGrid w:val="0"/>
        <w:spacing w:line="360" w:lineRule="auto"/>
        <w:ind w:firstLine="426"/>
        <w:jc w:val="left"/>
        <w:rPr>
          <w:rFonts w:ascii="宋体" w:hAnsi="宋体" w:cs="宋体"/>
          <w:snapToGrid w:val="0"/>
          <w:kern w:val="0"/>
          <w:szCs w:val="21"/>
        </w:rPr>
      </w:pPr>
      <w:bookmarkStart w:id="60" w:name="_Toc200513139"/>
      <w:r>
        <w:rPr>
          <w:rFonts w:hint="eastAsia" w:ascii="宋体" w:hAnsi="宋体" w:cs="宋体"/>
          <w:snapToGrid w:val="0"/>
          <w:kern w:val="0"/>
          <w:szCs w:val="21"/>
        </w:rPr>
        <w:t>不允许.</w:t>
      </w:r>
    </w:p>
    <w:p>
      <w:pPr>
        <w:pStyle w:val="4"/>
        <w:snapToGrid w:val="0"/>
        <w:spacing w:before="0" w:line="360" w:lineRule="auto"/>
        <w:rPr>
          <w:rFonts w:ascii="宋体" w:hAnsi="宋体" w:cs="宋体"/>
          <w:snapToGrid w:val="0"/>
          <w:sz w:val="21"/>
          <w:szCs w:val="21"/>
        </w:rPr>
      </w:pPr>
      <w:bookmarkStart w:id="61" w:name="_Toc387312423"/>
      <w:r>
        <w:rPr>
          <w:rFonts w:hint="eastAsia" w:ascii="宋体" w:hAnsi="宋体" w:cs="宋体"/>
          <w:snapToGrid w:val="0"/>
          <w:sz w:val="21"/>
          <w:szCs w:val="21"/>
        </w:rPr>
        <w:t>1.12  偏离</w:t>
      </w:r>
      <w:bookmarkEnd w:id="60"/>
      <w:bookmarkEnd w:id="61"/>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投标人须知前附表允许投标文件偏离招标文件某些要求的，偏离应当符合招标文件规定的偏离范围和幅度。</w:t>
      </w:r>
    </w:p>
    <w:p>
      <w:pPr>
        <w:pStyle w:val="3"/>
        <w:rPr>
          <w:rFonts w:ascii="宋体" w:hAnsi="宋体" w:cs="宋体"/>
          <w:snapToGrid w:val="0"/>
          <w:sz w:val="21"/>
          <w:szCs w:val="21"/>
        </w:rPr>
      </w:pPr>
      <w:bookmarkStart w:id="62" w:name="_Toc200513140"/>
      <w:bookmarkStart w:id="63" w:name="_Toc387312424"/>
      <w:r>
        <w:rPr>
          <w:rFonts w:hint="eastAsia" w:ascii="宋体" w:hAnsi="宋体" w:cs="宋体"/>
          <w:snapToGrid w:val="0"/>
          <w:sz w:val="21"/>
          <w:szCs w:val="21"/>
        </w:rPr>
        <w:t>2.  招标文件</w:t>
      </w:r>
      <w:bookmarkEnd w:id="62"/>
      <w:bookmarkEnd w:id="63"/>
    </w:p>
    <w:p>
      <w:pPr>
        <w:pStyle w:val="4"/>
        <w:snapToGrid w:val="0"/>
        <w:spacing w:before="0" w:line="360" w:lineRule="auto"/>
        <w:rPr>
          <w:rFonts w:ascii="宋体" w:hAnsi="宋体" w:cs="宋体"/>
          <w:snapToGrid w:val="0"/>
          <w:sz w:val="21"/>
          <w:szCs w:val="21"/>
        </w:rPr>
      </w:pPr>
      <w:bookmarkStart w:id="64" w:name="_Toc200513141"/>
      <w:bookmarkStart w:id="65" w:name="_Toc387312425"/>
      <w:r>
        <w:rPr>
          <w:rFonts w:hint="eastAsia" w:ascii="宋体" w:hAnsi="宋体" w:cs="宋体"/>
          <w:snapToGrid w:val="0"/>
          <w:sz w:val="21"/>
          <w:szCs w:val="21"/>
        </w:rPr>
        <w:t>2.1  招标文件的组成</w:t>
      </w:r>
      <w:bookmarkEnd w:id="64"/>
      <w:bookmarkEnd w:id="65"/>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本招标文件包括：</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（1）招标邀请书；</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（2）投标人须知；</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（3）评标办法；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（4）合同条款及格式；</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（5）工程量清单及图纸；</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（6）技术标准和要求；</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（7）投标文件格式；</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（8）投标人须知前附表规定的其他材料。</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根据本章第1.10款、第2.2款和第2.3款对招标文件所作的澄清、修改，构成招标文件的组成部分。</w:t>
      </w:r>
    </w:p>
    <w:p>
      <w:pPr>
        <w:pStyle w:val="4"/>
        <w:snapToGrid w:val="0"/>
        <w:spacing w:before="0" w:line="360" w:lineRule="auto"/>
        <w:rPr>
          <w:rFonts w:ascii="宋体" w:hAnsi="宋体" w:cs="宋体"/>
          <w:snapToGrid w:val="0"/>
          <w:sz w:val="21"/>
          <w:szCs w:val="21"/>
        </w:rPr>
      </w:pPr>
      <w:bookmarkStart w:id="66" w:name="_Toc387312426"/>
      <w:bookmarkStart w:id="67" w:name="_Toc200513142"/>
      <w:r>
        <w:rPr>
          <w:rFonts w:hint="eastAsia" w:ascii="宋体" w:hAnsi="宋体" w:cs="宋体"/>
          <w:snapToGrid w:val="0"/>
          <w:sz w:val="21"/>
          <w:szCs w:val="21"/>
        </w:rPr>
        <w:t>2.2  招标文件的澄清</w:t>
      </w:r>
      <w:bookmarkEnd w:id="66"/>
      <w:bookmarkEnd w:id="67"/>
    </w:p>
    <w:p>
      <w:pPr>
        <w:autoSpaceDE w:val="0"/>
        <w:autoSpaceDN w:val="0"/>
        <w:adjustRightInd w:val="0"/>
        <w:snapToGrid w:val="0"/>
        <w:spacing w:line="360" w:lineRule="auto"/>
        <w:ind w:firstLine="420"/>
        <w:rPr>
          <w:rFonts w:ascii="宋体" w:hAnsi="宋体" w:cs="宋体"/>
          <w:snapToGrid w:val="0"/>
          <w:kern w:val="0"/>
          <w:szCs w:val="21"/>
        </w:rPr>
      </w:pPr>
      <w:bookmarkStart w:id="68" w:name="_Toc387312427"/>
      <w:bookmarkStart w:id="69" w:name="_Toc200513143"/>
      <w:r>
        <w:rPr>
          <w:rFonts w:hint="eastAsia" w:ascii="宋体" w:hAnsi="宋体" w:cs="宋体"/>
          <w:snapToGrid w:val="0"/>
          <w:kern w:val="0"/>
          <w:szCs w:val="21"/>
        </w:rPr>
        <w:t>2.2.1投标人应仔细阅读和检查招标文件的全部内容。如发现缺页或附件不全，应及时向招标人提出，以便补齐。如有疑问，应在投标人须知前附表规定的时间前以书面形式（包括信函、传真等可以有形地表现所载内容的形式，下同），要求招标人对招标文件予以澄清。不管是招标人根据需要主动对招标文件进行必要的澄清或是根据投标人的质疑对招标文件做出澄清，招标人有关澄清招标文件的任何形式的文件都将作为招标文件的合法组成部分，对投标人起约束作用。</w:t>
      </w:r>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2.2.2招标文件的澄清将在投标人须知前附表规定的投标截止时间前发给所有购买招标文件的投标人（发到投标人购买招标文件时留的电子邮箱），但不指明澄清问题的来源。如果澄清发出的时间距投标截止时间过短，招标人将适当延长投标截止时间。</w:t>
      </w:r>
    </w:p>
    <w:p>
      <w:pPr>
        <w:pStyle w:val="4"/>
        <w:snapToGrid w:val="0"/>
        <w:spacing w:before="0" w:line="360" w:lineRule="auto"/>
        <w:rPr>
          <w:rFonts w:ascii="宋体" w:hAnsi="宋体" w:cs="宋体"/>
          <w:snapToGrid w:val="0"/>
          <w:sz w:val="21"/>
          <w:szCs w:val="21"/>
        </w:rPr>
      </w:pPr>
      <w:r>
        <w:rPr>
          <w:rFonts w:hint="eastAsia" w:ascii="宋体" w:hAnsi="宋体" w:cs="宋体"/>
          <w:snapToGrid w:val="0"/>
          <w:sz w:val="21"/>
          <w:szCs w:val="21"/>
        </w:rPr>
        <w:t>2.3  招标文件的修改</w:t>
      </w:r>
      <w:bookmarkEnd w:id="68"/>
      <w:bookmarkEnd w:id="69"/>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2.3.1在前附表规定时间前，招标人可以修改招标文件，并通知所有已接收招标文件的投标人（发到投标人购买招标文件时留的电子邮箱）。如果修改招标文件影响投标时间，招标人将适当延长投标截</w:t>
      </w:r>
      <w:r>
        <w:rPr>
          <w:rFonts w:hint="eastAsia" w:ascii="宋体" w:hAnsi="宋体" w:cs="宋体"/>
          <w:snapToGrid w:val="0"/>
          <w:kern w:val="0"/>
          <w:position w:val="-2"/>
          <w:szCs w:val="21"/>
        </w:rPr>
        <w:t>止时间。</w:t>
      </w:r>
    </w:p>
    <w:p>
      <w:pPr>
        <w:pStyle w:val="3"/>
        <w:rPr>
          <w:rFonts w:ascii="宋体" w:hAnsi="宋体" w:cs="宋体"/>
          <w:snapToGrid w:val="0"/>
          <w:sz w:val="21"/>
          <w:szCs w:val="21"/>
        </w:rPr>
      </w:pPr>
      <w:bookmarkStart w:id="70" w:name="_Toc387312428"/>
      <w:bookmarkStart w:id="71" w:name="_Toc200513144"/>
      <w:r>
        <w:rPr>
          <w:rFonts w:hint="eastAsia" w:ascii="宋体" w:hAnsi="宋体" w:cs="宋体"/>
          <w:snapToGrid w:val="0"/>
          <w:sz w:val="21"/>
          <w:szCs w:val="21"/>
        </w:rPr>
        <w:t>3.  投标文件</w:t>
      </w:r>
      <w:bookmarkEnd w:id="70"/>
      <w:bookmarkEnd w:id="71"/>
    </w:p>
    <w:p>
      <w:pPr>
        <w:pStyle w:val="4"/>
        <w:snapToGrid w:val="0"/>
        <w:spacing w:before="0" w:line="360" w:lineRule="auto"/>
        <w:rPr>
          <w:rFonts w:ascii="宋体" w:hAnsi="宋体" w:cs="宋体"/>
          <w:snapToGrid w:val="0"/>
          <w:sz w:val="21"/>
          <w:szCs w:val="21"/>
        </w:rPr>
      </w:pPr>
      <w:bookmarkStart w:id="72" w:name="_Toc387312429"/>
      <w:bookmarkStart w:id="73" w:name="_Toc200513145"/>
      <w:r>
        <w:rPr>
          <w:rFonts w:hint="eastAsia" w:ascii="宋体" w:hAnsi="宋体" w:cs="宋体"/>
          <w:snapToGrid w:val="0"/>
          <w:sz w:val="21"/>
          <w:szCs w:val="21"/>
        </w:rPr>
        <w:t>3.1  投标文件的组成</w:t>
      </w:r>
      <w:bookmarkEnd w:id="72"/>
      <w:bookmarkEnd w:id="73"/>
    </w:p>
    <w:p>
      <w:pPr>
        <w:autoSpaceDE w:val="0"/>
        <w:autoSpaceDN w:val="0"/>
        <w:adjustRightInd w:val="0"/>
        <w:snapToGrid w:val="0"/>
        <w:spacing w:line="360" w:lineRule="auto"/>
        <w:ind w:firstLine="420" w:firstLineChars="200"/>
        <w:jc w:val="left"/>
        <w:rPr>
          <w:rFonts w:ascii="宋体" w:hAnsi="宋体" w:cs="宋体"/>
          <w:snapToGrid w:val="0"/>
          <w:kern w:val="0"/>
          <w:szCs w:val="21"/>
        </w:rPr>
      </w:pPr>
      <w:bookmarkStart w:id="74" w:name="_Toc387312430"/>
      <w:bookmarkStart w:id="75" w:name="_Toc200513146"/>
      <w:r>
        <w:rPr>
          <w:rFonts w:hint="eastAsia" w:ascii="宋体" w:hAnsi="宋体" w:cs="宋体"/>
          <w:snapToGrid w:val="0"/>
          <w:kern w:val="0"/>
          <w:szCs w:val="21"/>
        </w:rPr>
        <w:t>3.1.1投标文件应包括下列内容：</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（1）投标函及投标函附录；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（2）法定代表人身份证明或附有法定代表人身份证明的授权委托书；</w:t>
      </w:r>
    </w:p>
    <w:p>
      <w:pPr>
        <w:autoSpaceDE w:val="0"/>
        <w:autoSpaceDN w:val="0"/>
        <w:adjustRightInd w:val="0"/>
        <w:snapToGrid w:val="0"/>
        <w:spacing w:line="360" w:lineRule="auto"/>
        <w:ind w:left="359" w:leftChars="171"/>
        <w:jc w:val="left"/>
        <w:rPr>
          <w:rFonts w:ascii="宋体" w:hAnsi="宋体" w:cs="宋体"/>
          <w:szCs w:val="21"/>
        </w:rPr>
      </w:pPr>
      <w:r>
        <w:rPr>
          <w:rFonts w:hint="eastAsia" w:ascii="宋体" w:hAnsi="宋体" w:cs="宋体"/>
          <w:snapToGrid w:val="0"/>
          <w:kern w:val="0"/>
          <w:szCs w:val="21"/>
        </w:rPr>
        <w:t>（3）投标报价表（已标价工程量清单）；</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（4）项目管理机构表；</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（5）资格审查资料；</w:t>
      </w:r>
    </w:p>
    <w:p>
      <w:pPr>
        <w:autoSpaceDE w:val="0"/>
        <w:autoSpaceDN w:val="0"/>
        <w:adjustRightInd w:val="0"/>
        <w:snapToGrid w:val="0"/>
        <w:spacing w:line="360" w:lineRule="auto"/>
        <w:ind w:left="359" w:leftChars="171"/>
        <w:jc w:val="left"/>
        <w:rPr>
          <w:rFonts w:ascii="宋体" w:hAnsi="宋体" w:cs="宋体"/>
          <w:snapToGrid w:val="0"/>
          <w:kern w:val="0"/>
          <w:szCs w:val="21"/>
        </w:rPr>
      </w:pPr>
      <w:r>
        <w:rPr>
          <w:rFonts w:hint="eastAsia" w:ascii="宋体" w:hAnsi="宋体" w:cs="宋体"/>
          <w:snapToGrid w:val="0"/>
          <w:kern w:val="0"/>
          <w:szCs w:val="21"/>
        </w:rPr>
        <w:t>（6）技术部分；</w:t>
      </w:r>
    </w:p>
    <w:p>
      <w:pPr>
        <w:autoSpaceDE w:val="0"/>
        <w:autoSpaceDN w:val="0"/>
        <w:adjustRightInd w:val="0"/>
        <w:snapToGrid w:val="0"/>
        <w:spacing w:line="360" w:lineRule="auto"/>
        <w:ind w:firstLine="315" w:firstLineChars="150"/>
        <w:jc w:val="left"/>
        <w:rPr>
          <w:rFonts w:ascii="宋体" w:hAnsi="宋体" w:cs="宋体"/>
          <w:snapToGrid w:val="0"/>
          <w:kern w:val="0"/>
          <w:szCs w:val="21"/>
        </w:rPr>
      </w:pPr>
      <w:r>
        <w:rPr>
          <w:rFonts w:hint="eastAsia" w:ascii="宋体" w:hAnsi="宋体" w:cs="宋体"/>
          <w:snapToGrid w:val="0"/>
          <w:kern w:val="0"/>
          <w:szCs w:val="21"/>
        </w:rPr>
        <w:t>（7）投标人须知前附表规定的其他材料。</w:t>
      </w:r>
    </w:p>
    <w:p>
      <w:pPr>
        <w:pStyle w:val="4"/>
        <w:snapToGrid w:val="0"/>
        <w:spacing w:before="0" w:line="360" w:lineRule="auto"/>
        <w:rPr>
          <w:rFonts w:ascii="宋体" w:hAnsi="宋体" w:cs="宋体"/>
          <w:snapToGrid w:val="0"/>
          <w:sz w:val="21"/>
          <w:szCs w:val="21"/>
        </w:rPr>
      </w:pPr>
      <w:r>
        <w:rPr>
          <w:rFonts w:hint="eastAsia" w:ascii="宋体" w:hAnsi="宋体" w:cs="宋体"/>
          <w:snapToGrid w:val="0"/>
          <w:sz w:val="21"/>
          <w:szCs w:val="21"/>
        </w:rPr>
        <w:t>3.2  投标报价</w:t>
      </w:r>
      <w:bookmarkEnd w:id="74"/>
      <w:bookmarkEnd w:id="75"/>
    </w:p>
    <w:p>
      <w:pPr>
        <w:autoSpaceDE w:val="0"/>
        <w:autoSpaceDN w:val="0"/>
        <w:adjustRightInd w:val="0"/>
        <w:snapToGrid w:val="0"/>
        <w:spacing w:line="360" w:lineRule="auto"/>
        <w:ind w:firstLine="420" w:firstLineChars="200"/>
        <w:jc w:val="left"/>
        <w:rPr>
          <w:rFonts w:ascii="宋体" w:hAnsi="宋体" w:cs="宋体"/>
          <w:snapToGrid w:val="0"/>
          <w:kern w:val="0"/>
          <w:szCs w:val="21"/>
        </w:rPr>
      </w:pPr>
      <w:bookmarkStart w:id="76" w:name="_Toc387312431"/>
      <w:bookmarkStart w:id="77" w:name="_Toc200513147"/>
      <w:r>
        <w:rPr>
          <w:rFonts w:hint="eastAsia" w:ascii="宋体" w:hAnsi="宋体" w:cs="宋体"/>
          <w:snapToGrid w:val="0"/>
          <w:kern w:val="0"/>
          <w:szCs w:val="21"/>
        </w:rPr>
        <w:t>3.2.1投标人应按前附表“投标报价”要求编制“投标报价（已标价工程量清单）”。</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3.2.2　投标人在投标截止时间前修改投标函中的投标总报价须符合本章第 4.3 款的有关要求。</w:t>
      </w:r>
    </w:p>
    <w:p>
      <w:pPr>
        <w:pStyle w:val="4"/>
        <w:snapToGrid w:val="0"/>
        <w:spacing w:before="0" w:line="360" w:lineRule="auto"/>
        <w:rPr>
          <w:rFonts w:ascii="宋体" w:hAnsi="宋体" w:cs="宋体"/>
          <w:snapToGrid w:val="0"/>
          <w:sz w:val="21"/>
          <w:szCs w:val="21"/>
        </w:rPr>
      </w:pPr>
      <w:r>
        <w:rPr>
          <w:rFonts w:hint="eastAsia" w:ascii="宋体" w:hAnsi="宋体" w:cs="宋体"/>
          <w:snapToGrid w:val="0"/>
          <w:sz w:val="21"/>
          <w:szCs w:val="21"/>
        </w:rPr>
        <w:t>3.3  投标有效期</w:t>
      </w:r>
      <w:bookmarkEnd w:id="76"/>
      <w:bookmarkEnd w:id="77"/>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3.3.1  在投标人须知前附表规定的投标有效期内，投标人不得要求撤销或修改其投标文件。</w:t>
      </w:r>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3.3.2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snapToGrid w:val="0"/>
        <w:spacing w:before="0" w:line="360" w:lineRule="auto"/>
        <w:rPr>
          <w:rFonts w:ascii="宋体" w:hAnsi="宋体" w:cs="宋体"/>
          <w:snapToGrid w:val="0"/>
          <w:sz w:val="21"/>
          <w:szCs w:val="21"/>
        </w:rPr>
      </w:pPr>
      <w:bookmarkStart w:id="78" w:name="_Toc387312432"/>
      <w:bookmarkStart w:id="79" w:name="_Toc200513148"/>
      <w:r>
        <w:rPr>
          <w:rFonts w:hint="eastAsia" w:ascii="宋体" w:hAnsi="宋体" w:cs="宋体"/>
          <w:snapToGrid w:val="0"/>
          <w:sz w:val="21"/>
          <w:szCs w:val="21"/>
        </w:rPr>
        <w:t>3.4  投标保证金</w:t>
      </w:r>
      <w:bookmarkEnd w:id="78"/>
      <w:bookmarkEnd w:id="79"/>
    </w:p>
    <w:p>
      <w:pPr>
        <w:autoSpaceDE w:val="0"/>
        <w:autoSpaceDN w:val="0"/>
        <w:adjustRightInd w:val="0"/>
        <w:snapToGrid w:val="0"/>
        <w:spacing w:line="360" w:lineRule="auto"/>
        <w:ind w:firstLine="420" w:firstLineChars="200"/>
        <w:rPr>
          <w:rFonts w:ascii="宋体" w:hAnsi="宋体" w:cs="宋体"/>
          <w:snapToGrid w:val="0"/>
          <w:kern w:val="0"/>
          <w:szCs w:val="21"/>
        </w:rPr>
      </w:pPr>
      <w:r>
        <w:rPr>
          <w:rFonts w:hint="eastAsia" w:ascii="宋体" w:hAnsi="宋体" w:cs="宋体"/>
          <w:snapToGrid w:val="0"/>
          <w:kern w:val="0"/>
          <w:szCs w:val="21"/>
        </w:rPr>
        <w:t>3.4.1  投标人在递交投标文件的同时，应按投标人须知前附表规定的金额、担保形式递交投标保证金，并作为其投标文件的组成部分。</w:t>
      </w:r>
    </w:p>
    <w:p>
      <w:pPr>
        <w:autoSpaceDE w:val="0"/>
        <w:autoSpaceDN w:val="0"/>
        <w:adjustRightInd w:val="0"/>
        <w:snapToGrid w:val="0"/>
        <w:spacing w:line="360" w:lineRule="auto"/>
        <w:ind w:left="13" w:leftChars="6" w:firstLine="405" w:firstLineChars="193"/>
        <w:jc w:val="left"/>
        <w:rPr>
          <w:rFonts w:ascii="宋体" w:hAnsi="宋体" w:cs="宋体"/>
          <w:snapToGrid w:val="0"/>
          <w:kern w:val="0"/>
          <w:szCs w:val="21"/>
        </w:rPr>
      </w:pPr>
      <w:r>
        <w:rPr>
          <w:rFonts w:hint="eastAsia" w:ascii="宋体" w:hAnsi="宋体" w:cs="宋体"/>
          <w:snapToGrid w:val="0"/>
          <w:kern w:val="0"/>
          <w:szCs w:val="21"/>
        </w:rPr>
        <w:t>3.4.2  投标人不按本章第 3.4.1 项要求提交投标保证金的，其投标文件作废标处理。</w:t>
      </w:r>
    </w:p>
    <w:p>
      <w:pPr>
        <w:autoSpaceDE w:val="0"/>
        <w:autoSpaceDN w:val="0"/>
        <w:adjustRightInd w:val="0"/>
        <w:snapToGrid w:val="0"/>
        <w:spacing w:line="360" w:lineRule="auto"/>
        <w:ind w:left="13" w:leftChars="6" w:firstLine="405" w:firstLineChars="193"/>
        <w:jc w:val="left"/>
        <w:rPr>
          <w:rFonts w:ascii="宋体" w:hAnsi="宋体" w:cs="宋体"/>
          <w:snapToGrid w:val="0"/>
          <w:kern w:val="0"/>
          <w:szCs w:val="21"/>
        </w:rPr>
      </w:pPr>
      <w:r>
        <w:rPr>
          <w:rFonts w:hint="eastAsia" w:ascii="宋体" w:hAnsi="宋体" w:cs="宋体"/>
          <w:snapToGrid w:val="0"/>
          <w:kern w:val="0"/>
          <w:szCs w:val="21"/>
        </w:rPr>
        <w:t>3.4.3  投标</w:t>
      </w:r>
      <w:r>
        <w:rPr>
          <w:rFonts w:hint="eastAsia" w:ascii="宋体" w:hAnsi="宋体" w:cs="宋体"/>
          <w:snapToGrid w:val="0"/>
          <w:kern w:val="0"/>
          <w:position w:val="-2"/>
          <w:szCs w:val="21"/>
        </w:rPr>
        <w:t>保证金</w:t>
      </w:r>
      <w:r>
        <w:rPr>
          <w:rFonts w:hint="eastAsia" w:ascii="宋体" w:hAnsi="宋体" w:cs="宋体"/>
          <w:snapToGrid w:val="0"/>
          <w:kern w:val="0"/>
          <w:szCs w:val="21"/>
        </w:rPr>
        <w:t>退还：见投标人须知前附表</w:t>
      </w:r>
      <w:r>
        <w:rPr>
          <w:rFonts w:hint="eastAsia" w:ascii="宋体" w:hAnsi="宋体" w:cs="宋体"/>
          <w:snapToGrid w:val="0"/>
          <w:kern w:val="0"/>
          <w:position w:val="-2"/>
          <w:szCs w:val="21"/>
        </w:rPr>
        <w:t>。</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3.4.4  有下列情形之一的，投标保证金将不予退还：</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（1）投标人在规定的投标有效期内撤销或修改其投标文件；</w:t>
      </w:r>
    </w:p>
    <w:p>
      <w:pPr>
        <w:autoSpaceDE w:val="0"/>
        <w:autoSpaceDN w:val="0"/>
        <w:adjustRightInd w:val="0"/>
        <w:snapToGrid w:val="0"/>
        <w:spacing w:line="360" w:lineRule="auto"/>
        <w:ind w:left="13" w:leftChars="6" w:firstLine="405" w:firstLineChars="193"/>
        <w:jc w:val="left"/>
        <w:rPr>
          <w:rFonts w:ascii="宋体" w:hAnsi="宋体" w:cs="宋体"/>
          <w:snapToGrid w:val="0"/>
          <w:kern w:val="0"/>
          <w:position w:val="-2"/>
          <w:szCs w:val="21"/>
        </w:rPr>
      </w:pPr>
      <w:r>
        <w:rPr>
          <w:rFonts w:hint="eastAsia" w:ascii="宋体" w:hAnsi="宋体" w:cs="宋体"/>
          <w:snapToGrid w:val="0"/>
          <w:kern w:val="0"/>
          <w:position w:val="-2"/>
          <w:szCs w:val="21"/>
        </w:rPr>
        <w:t>（2）中标人在收到中标通知书后，无正当理由拒签合同协议书或未按招标文件规定提交履约担保。</w:t>
      </w:r>
    </w:p>
    <w:p>
      <w:pPr>
        <w:autoSpaceDE w:val="0"/>
        <w:autoSpaceDN w:val="0"/>
        <w:adjustRightInd w:val="0"/>
        <w:snapToGrid w:val="0"/>
        <w:spacing w:line="360" w:lineRule="auto"/>
        <w:ind w:left="13" w:leftChars="6" w:firstLine="405" w:firstLineChars="193"/>
        <w:jc w:val="left"/>
        <w:rPr>
          <w:rFonts w:ascii="宋体" w:hAnsi="宋体" w:cs="宋体"/>
          <w:snapToGrid w:val="0"/>
          <w:kern w:val="0"/>
          <w:position w:val="-2"/>
          <w:szCs w:val="21"/>
        </w:rPr>
      </w:pPr>
      <w:r>
        <w:rPr>
          <w:rFonts w:hint="eastAsia" w:ascii="宋体" w:hAnsi="宋体" w:cs="宋体"/>
          <w:snapToGrid w:val="0"/>
          <w:kern w:val="0"/>
          <w:position w:val="-2"/>
          <w:szCs w:val="21"/>
        </w:rPr>
        <w:t>3.4.5 对于未能按要求提交投标保证金的投标，招标人将视为不响应招标文件而予以拒绝。</w:t>
      </w:r>
    </w:p>
    <w:p>
      <w:pPr>
        <w:autoSpaceDE w:val="0"/>
        <w:autoSpaceDN w:val="0"/>
        <w:adjustRightInd w:val="0"/>
        <w:snapToGrid w:val="0"/>
        <w:spacing w:line="360" w:lineRule="auto"/>
        <w:ind w:left="13" w:leftChars="6" w:firstLine="405" w:firstLineChars="193"/>
        <w:jc w:val="left"/>
        <w:rPr>
          <w:rFonts w:ascii="宋体" w:hAnsi="宋体" w:cs="宋体"/>
          <w:snapToGrid w:val="0"/>
          <w:kern w:val="0"/>
          <w:position w:val="-2"/>
          <w:szCs w:val="21"/>
        </w:rPr>
      </w:pPr>
      <w:r>
        <w:rPr>
          <w:rFonts w:hint="eastAsia" w:ascii="宋体" w:hAnsi="宋体" w:cs="宋体"/>
          <w:snapToGrid w:val="0"/>
          <w:kern w:val="0"/>
          <w:position w:val="-2"/>
          <w:szCs w:val="21"/>
        </w:rPr>
        <w:t>3.4.6 未中标的投标人的投标保证金将在确定中标人与招标人签订合同后10个工作日内予以退还（不计利息）。</w:t>
      </w:r>
    </w:p>
    <w:p>
      <w:pPr>
        <w:autoSpaceDE w:val="0"/>
        <w:autoSpaceDN w:val="0"/>
        <w:adjustRightInd w:val="0"/>
        <w:snapToGrid w:val="0"/>
        <w:spacing w:line="360" w:lineRule="auto"/>
        <w:ind w:left="13" w:leftChars="6" w:firstLine="405" w:firstLineChars="193"/>
        <w:jc w:val="left"/>
        <w:rPr>
          <w:rFonts w:ascii="宋体" w:hAnsi="宋体" w:cs="宋体"/>
          <w:snapToGrid w:val="0"/>
          <w:kern w:val="0"/>
          <w:position w:val="-2"/>
          <w:szCs w:val="21"/>
        </w:rPr>
      </w:pPr>
      <w:r>
        <w:rPr>
          <w:rFonts w:hint="eastAsia" w:ascii="宋体" w:hAnsi="宋体" w:cs="宋体"/>
          <w:snapToGrid w:val="0"/>
          <w:kern w:val="0"/>
          <w:position w:val="-2"/>
          <w:szCs w:val="21"/>
        </w:rPr>
        <w:t>3.4.7 如投标人发生下列情形之一时，投标保证金将不予退还：</w:t>
      </w:r>
    </w:p>
    <w:p>
      <w:pPr>
        <w:autoSpaceDE w:val="0"/>
        <w:autoSpaceDN w:val="0"/>
        <w:adjustRightInd w:val="0"/>
        <w:snapToGrid w:val="0"/>
        <w:spacing w:line="360" w:lineRule="auto"/>
        <w:ind w:left="13" w:leftChars="6" w:firstLine="405" w:firstLineChars="193"/>
        <w:jc w:val="left"/>
        <w:rPr>
          <w:rFonts w:ascii="宋体" w:hAnsi="宋体" w:cs="宋体"/>
          <w:snapToGrid w:val="0"/>
          <w:kern w:val="0"/>
          <w:position w:val="-2"/>
          <w:szCs w:val="21"/>
        </w:rPr>
      </w:pPr>
      <w:r>
        <w:rPr>
          <w:rFonts w:hint="eastAsia" w:ascii="宋体" w:hAnsi="宋体" w:cs="宋体"/>
          <w:snapToGrid w:val="0"/>
          <w:kern w:val="0"/>
          <w:position w:val="-2"/>
          <w:szCs w:val="21"/>
        </w:rPr>
        <w:t>（1）投标人在规定的投标有效期内撤销或修改其投标文件；</w:t>
      </w:r>
    </w:p>
    <w:p>
      <w:pPr>
        <w:autoSpaceDE w:val="0"/>
        <w:autoSpaceDN w:val="0"/>
        <w:adjustRightInd w:val="0"/>
        <w:snapToGrid w:val="0"/>
        <w:spacing w:line="360" w:lineRule="auto"/>
        <w:ind w:left="13" w:leftChars="6" w:firstLine="405" w:firstLineChars="193"/>
        <w:jc w:val="left"/>
        <w:rPr>
          <w:rFonts w:ascii="宋体" w:hAnsi="宋体" w:cs="宋体"/>
          <w:snapToGrid w:val="0"/>
          <w:kern w:val="0"/>
          <w:position w:val="-2"/>
          <w:szCs w:val="21"/>
        </w:rPr>
      </w:pPr>
      <w:r>
        <w:rPr>
          <w:rFonts w:hint="eastAsia" w:ascii="宋体" w:hAnsi="宋体" w:cs="宋体"/>
          <w:snapToGrid w:val="0"/>
          <w:kern w:val="0"/>
          <w:position w:val="-2"/>
          <w:szCs w:val="21"/>
        </w:rPr>
        <w:t>（2）中标人在收到中标通知书30日历天内，无正当理由拒签合同协议书或未按招标文件规定提交履约担保。</w:t>
      </w:r>
    </w:p>
    <w:p>
      <w:pPr>
        <w:autoSpaceDE w:val="0"/>
        <w:autoSpaceDN w:val="0"/>
        <w:adjustRightInd w:val="0"/>
        <w:snapToGrid w:val="0"/>
        <w:spacing w:line="360" w:lineRule="auto"/>
        <w:ind w:left="13" w:leftChars="6" w:firstLine="405" w:firstLineChars="193"/>
        <w:jc w:val="left"/>
        <w:rPr>
          <w:rFonts w:ascii="宋体" w:hAnsi="宋体" w:cs="宋体"/>
          <w:snapToGrid w:val="0"/>
          <w:kern w:val="0"/>
          <w:position w:val="-2"/>
          <w:szCs w:val="21"/>
        </w:rPr>
      </w:pPr>
      <w:r>
        <w:rPr>
          <w:rFonts w:hint="eastAsia" w:ascii="宋体" w:hAnsi="宋体" w:cs="宋体"/>
          <w:snapToGrid w:val="0"/>
          <w:kern w:val="0"/>
          <w:position w:val="-2"/>
          <w:szCs w:val="21"/>
        </w:rPr>
        <w:t>（3）投标人投标过程中有违法、违纪并被国家或地方行政主管部门查处的。</w:t>
      </w:r>
    </w:p>
    <w:p>
      <w:pPr>
        <w:pStyle w:val="4"/>
        <w:snapToGrid w:val="0"/>
        <w:spacing w:before="0" w:line="360" w:lineRule="auto"/>
        <w:rPr>
          <w:rFonts w:ascii="宋体" w:hAnsi="宋体" w:cs="宋体"/>
          <w:snapToGrid w:val="0"/>
          <w:sz w:val="21"/>
          <w:szCs w:val="21"/>
        </w:rPr>
      </w:pPr>
      <w:bookmarkStart w:id="80" w:name="_Toc200513150"/>
      <w:bookmarkStart w:id="81" w:name="_Toc387312433"/>
      <w:r>
        <w:rPr>
          <w:rFonts w:hint="eastAsia" w:ascii="宋体" w:hAnsi="宋体" w:cs="宋体"/>
          <w:snapToGrid w:val="0"/>
          <w:sz w:val="21"/>
          <w:szCs w:val="21"/>
        </w:rPr>
        <w:t>3.5  资格审查资料</w:t>
      </w:r>
      <w:bookmarkEnd w:id="80"/>
      <w:bookmarkEnd w:id="81"/>
    </w:p>
    <w:p>
      <w:pPr>
        <w:autoSpaceDE w:val="0"/>
        <w:autoSpaceDN w:val="0"/>
        <w:adjustRightInd w:val="0"/>
        <w:snapToGrid w:val="0"/>
        <w:spacing w:line="360" w:lineRule="auto"/>
        <w:ind w:firstLine="420"/>
        <w:jc w:val="left"/>
        <w:rPr>
          <w:rFonts w:ascii="宋体" w:hAnsi="宋体" w:cs="宋体"/>
          <w:snapToGrid w:val="0"/>
          <w:kern w:val="0"/>
          <w:szCs w:val="21"/>
        </w:rPr>
      </w:pPr>
      <w:bookmarkStart w:id="82" w:name="_Toc387312434"/>
      <w:bookmarkStart w:id="83" w:name="_Toc200513151"/>
      <w:r>
        <w:rPr>
          <w:rFonts w:hint="eastAsia" w:ascii="宋体" w:hAnsi="宋体" w:cs="宋体"/>
          <w:snapToGrid w:val="0"/>
          <w:kern w:val="0"/>
          <w:szCs w:val="21"/>
        </w:rPr>
        <w:t>3.5.1  “投标人基本情况表”应附投标人营业执照副本（三证合一）及其年检合格的证明材料、资质证书副本、安全生产许可证、银行开户许可证、纳税人资格证明（一般纳税人）、“三类人员”相应的安全生产考核合格证书等材料的复印件。</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3.5.2 “近年完成的类似项目情况表”应附合同协议书或工程竣工验收证明书的复印件，具体年份要求见投标人须知前附表。</w:t>
      </w:r>
    </w:p>
    <w:p>
      <w:pPr>
        <w:pStyle w:val="4"/>
        <w:snapToGrid w:val="0"/>
        <w:spacing w:before="0" w:line="360" w:lineRule="auto"/>
        <w:rPr>
          <w:rFonts w:ascii="宋体" w:hAnsi="宋体" w:cs="宋体"/>
          <w:snapToGrid w:val="0"/>
          <w:sz w:val="21"/>
          <w:szCs w:val="21"/>
        </w:rPr>
      </w:pPr>
      <w:r>
        <w:rPr>
          <w:rFonts w:hint="eastAsia" w:ascii="宋体" w:hAnsi="宋体" w:cs="宋体"/>
          <w:snapToGrid w:val="0"/>
          <w:sz w:val="21"/>
          <w:szCs w:val="21"/>
        </w:rPr>
        <w:t>3.6  备选投标方案</w:t>
      </w:r>
      <w:bookmarkEnd w:id="82"/>
      <w:bookmarkEnd w:id="83"/>
    </w:p>
    <w:p>
      <w:pPr>
        <w:autoSpaceDE w:val="0"/>
        <w:autoSpaceDN w:val="0"/>
        <w:adjustRightInd w:val="0"/>
        <w:snapToGrid w:val="0"/>
        <w:spacing w:line="360" w:lineRule="auto"/>
        <w:ind w:firstLine="420"/>
        <w:rPr>
          <w:rFonts w:ascii="宋体" w:hAnsi="宋体" w:cs="宋体"/>
          <w:snapToGrid w:val="0"/>
          <w:kern w:val="0"/>
          <w:szCs w:val="21"/>
        </w:rPr>
      </w:pPr>
      <w:bookmarkStart w:id="84" w:name="_Toc200513152"/>
      <w:bookmarkStart w:id="85" w:name="_Toc387312435"/>
      <w:r>
        <w:rPr>
          <w:rFonts w:hint="eastAsia" w:ascii="宋体" w:hAnsi="宋体" w:cs="宋体"/>
          <w:snapToGrid w:val="0"/>
          <w:kern w:val="0"/>
          <w:szCs w:val="21"/>
        </w:rPr>
        <w:t>投标人不得递交备选投标方案。</w:t>
      </w:r>
    </w:p>
    <w:p>
      <w:pPr>
        <w:pStyle w:val="4"/>
        <w:snapToGrid w:val="0"/>
        <w:spacing w:before="0" w:line="360" w:lineRule="auto"/>
        <w:rPr>
          <w:rFonts w:ascii="宋体" w:hAnsi="宋体" w:cs="宋体"/>
          <w:snapToGrid w:val="0"/>
          <w:sz w:val="21"/>
          <w:szCs w:val="21"/>
        </w:rPr>
      </w:pPr>
      <w:r>
        <w:rPr>
          <w:rFonts w:hint="eastAsia" w:ascii="宋体" w:hAnsi="宋体" w:cs="宋体"/>
          <w:snapToGrid w:val="0"/>
          <w:sz w:val="21"/>
          <w:szCs w:val="21"/>
        </w:rPr>
        <w:t>3.7  投标文件的编制</w:t>
      </w:r>
      <w:bookmarkEnd w:id="84"/>
      <w:bookmarkEnd w:id="85"/>
    </w:p>
    <w:p>
      <w:pPr>
        <w:autoSpaceDE w:val="0"/>
        <w:autoSpaceDN w:val="0"/>
        <w:adjustRightInd w:val="0"/>
        <w:snapToGrid w:val="0"/>
        <w:spacing w:line="360" w:lineRule="auto"/>
        <w:ind w:firstLine="420"/>
        <w:rPr>
          <w:rFonts w:ascii="宋体" w:hAnsi="宋体" w:cs="宋体"/>
          <w:snapToGrid w:val="0"/>
          <w:kern w:val="0"/>
          <w:szCs w:val="21"/>
        </w:rPr>
      </w:pPr>
      <w:bookmarkStart w:id="86" w:name="_Toc200513153"/>
      <w:bookmarkStart w:id="87" w:name="_Toc387312436"/>
      <w:r>
        <w:rPr>
          <w:rFonts w:hint="eastAsia" w:ascii="宋体" w:hAnsi="宋体" w:cs="宋体"/>
          <w:snapToGrid w:val="0"/>
          <w:kern w:val="0"/>
          <w:szCs w:val="21"/>
        </w:rPr>
        <w:t>3.7.1  投标文件应按第六章“投标文件格式”进行编写，如有必要，可以增加附页，作为投标文件的组成部分。其中，投标函附录在满足招标文件实质性要求的基础上，可以提出比招标文件要求更有利于招标人的承诺。</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3.7.2  投标文件应当对招标文件有关工期、投标有效期、质量要求、招标范围等实质性内容做出响应。</w:t>
      </w:r>
    </w:p>
    <w:p>
      <w:pPr>
        <w:autoSpaceDE w:val="0"/>
        <w:autoSpaceDN w:val="0"/>
        <w:adjustRightInd w:val="0"/>
        <w:snapToGrid w:val="0"/>
        <w:spacing w:line="360" w:lineRule="auto"/>
        <w:ind w:firstLine="424" w:firstLineChars="202"/>
        <w:jc w:val="left"/>
        <w:rPr>
          <w:rFonts w:ascii="宋体" w:hAnsi="宋体" w:cs="宋体"/>
          <w:snapToGrid w:val="0"/>
          <w:kern w:val="0"/>
          <w:szCs w:val="21"/>
        </w:rPr>
      </w:pPr>
      <w:r>
        <w:rPr>
          <w:rFonts w:hint="eastAsia" w:ascii="宋体" w:hAnsi="宋体" w:cs="宋体"/>
          <w:snapToGrid w:val="0"/>
          <w:kern w:val="0"/>
          <w:position w:val="-2"/>
          <w:szCs w:val="21"/>
        </w:rPr>
        <w:t>3.7.3  投标文件应用不褪色的材料书写或打印，并由投标人的法定代表人或其委托代理</w:t>
      </w:r>
      <w:r>
        <w:rPr>
          <w:rFonts w:hint="eastAsia" w:ascii="宋体" w:hAnsi="宋体" w:cs="宋体"/>
          <w:snapToGrid w:val="0"/>
          <w:kern w:val="0"/>
          <w:szCs w:val="21"/>
        </w:rPr>
        <w:t>人签字、盖单位章。委托代理人签字的，投标文件应附法定代表人签署的授权委托书。投标文件应尽量避免涂改、行间插字或删除。如果出现上述情况，改动之处应加盖单位公章或由投标人的法定代表人或其授权的代理人签字确认。签字或盖章的具体要求见投标人须知前附表。</w:t>
      </w:r>
    </w:p>
    <w:p>
      <w:pPr>
        <w:autoSpaceDE w:val="0"/>
        <w:autoSpaceDN w:val="0"/>
        <w:adjustRightInd w:val="0"/>
        <w:snapToGrid w:val="0"/>
        <w:spacing w:line="360" w:lineRule="auto"/>
        <w:ind w:right="-164" w:firstLine="426"/>
        <w:jc w:val="left"/>
        <w:rPr>
          <w:rFonts w:ascii="宋体" w:hAnsi="宋体" w:cs="宋体"/>
          <w:snapToGrid w:val="0"/>
          <w:kern w:val="0"/>
          <w:szCs w:val="21"/>
        </w:rPr>
      </w:pPr>
      <w:r>
        <w:rPr>
          <w:rFonts w:hint="eastAsia" w:ascii="宋体" w:hAnsi="宋体" w:cs="宋体"/>
          <w:snapToGrid w:val="0"/>
          <w:kern w:val="0"/>
          <w:szCs w:val="21"/>
        </w:rPr>
        <w:t>3.7.4  投标文件正本一份，副本份数见投标人须知前附表，正本和副本的封面上应清楚地标记“正本”或“副本”的字样，正本和副本封面均须加盖单位公章（鲜章）。当副本和正本不一致时，以正本为准。</w:t>
      </w:r>
    </w:p>
    <w:p>
      <w:pPr>
        <w:autoSpaceDE w:val="0"/>
        <w:autoSpaceDN w:val="0"/>
        <w:adjustRightInd w:val="0"/>
        <w:snapToGrid w:val="0"/>
        <w:spacing w:line="360" w:lineRule="auto"/>
        <w:ind w:right="-109" w:firstLine="426"/>
        <w:jc w:val="left"/>
        <w:rPr>
          <w:rFonts w:ascii="宋体" w:hAnsi="宋体" w:cs="宋体"/>
          <w:snapToGrid w:val="0"/>
          <w:kern w:val="0"/>
          <w:szCs w:val="21"/>
        </w:rPr>
      </w:pPr>
      <w:r>
        <w:rPr>
          <w:rFonts w:hint="eastAsia" w:ascii="宋体" w:hAnsi="宋体" w:cs="宋体"/>
          <w:snapToGrid w:val="0"/>
          <w:kern w:val="0"/>
          <w:szCs w:val="21"/>
        </w:rPr>
        <w:t>3.7.5  投标文件的正本与副本应分别装订成册，并编制目录，具体装订要求见投标人须知前附表规定。</w:t>
      </w:r>
    </w:p>
    <w:p>
      <w:pPr>
        <w:pStyle w:val="3"/>
        <w:rPr>
          <w:rFonts w:ascii="宋体" w:hAnsi="宋体" w:cs="宋体"/>
          <w:snapToGrid w:val="0"/>
          <w:sz w:val="21"/>
          <w:szCs w:val="21"/>
        </w:rPr>
      </w:pPr>
      <w:r>
        <w:rPr>
          <w:rFonts w:hint="eastAsia" w:ascii="宋体" w:hAnsi="宋体" w:cs="宋体"/>
          <w:snapToGrid w:val="0"/>
          <w:sz w:val="21"/>
          <w:szCs w:val="21"/>
        </w:rPr>
        <w:t>4.  投标</w:t>
      </w:r>
      <w:bookmarkEnd w:id="86"/>
      <w:bookmarkEnd w:id="87"/>
    </w:p>
    <w:p>
      <w:pPr>
        <w:pStyle w:val="4"/>
        <w:snapToGrid w:val="0"/>
        <w:spacing w:before="0" w:line="360" w:lineRule="auto"/>
        <w:rPr>
          <w:rFonts w:ascii="宋体" w:hAnsi="宋体" w:cs="宋体"/>
          <w:snapToGrid w:val="0"/>
          <w:sz w:val="21"/>
          <w:szCs w:val="21"/>
        </w:rPr>
      </w:pPr>
      <w:bookmarkStart w:id="88" w:name="_Toc387312437"/>
      <w:bookmarkStart w:id="89" w:name="_Toc200513154"/>
      <w:r>
        <w:rPr>
          <w:rFonts w:hint="eastAsia" w:ascii="宋体" w:hAnsi="宋体" w:cs="宋体"/>
          <w:snapToGrid w:val="0"/>
          <w:sz w:val="21"/>
          <w:szCs w:val="21"/>
        </w:rPr>
        <w:t>4.1  投标文件的密封和标记</w:t>
      </w:r>
      <w:bookmarkEnd w:id="88"/>
      <w:bookmarkEnd w:id="89"/>
    </w:p>
    <w:p>
      <w:pPr>
        <w:autoSpaceDE w:val="0"/>
        <w:autoSpaceDN w:val="0"/>
        <w:adjustRightInd w:val="0"/>
        <w:snapToGrid w:val="0"/>
        <w:spacing w:line="360" w:lineRule="auto"/>
        <w:ind w:firstLine="472" w:firstLineChars="225"/>
        <w:rPr>
          <w:rFonts w:ascii="宋体" w:hAnsi="宋体" w:cs="宋体"/>
          <w:kern w:val="0"/>
          <w:szCs w:val="21"/>
        </w:rPr>
      </w:pPr>
      <w:bookmarkStart w:id="90" w:name="_Toc200513155"/>
      <w:r>
        <w:rPr>
          <w:rFonts w:hint="eastAsia" w:ascii="宋体" w:hAnsi="宋体" w:cs="宋体"/>
          <w:kern w:val="0"/>
          <w:szCs w:val="21"/>
        </w:rPr>
        <w:t>4.1.1  投标文件密封见投标人须知前附表。</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4.1.2  投标文件的封套上应写明的内容见投标人须知前附表。</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4.1.3  未按本章第 4.1.1 项或第 4.1.2 项要求密封和加写标记的投标文件，招标人不予受理。</w:t>
      </w:r>
    </w:p>
    <w:p>
      <w:pPr>
        <w:pStyle w:val="4"/>
        <w:snapToGrid w:val="0"/>
        <w:spacing w:before="0" w:line="360" w:lineRule="auto"/>
        <w:rPr>
          <w:rFonts w:ascii="宋体" w:hAnsi="宋体" w:cs="宋体"/>
          <w:snapToGrid w:val="0"/>
          <w:sz w:val="21"/>
          <w:szCs w:val="21"/>
        </w:rPr>
      </w:pPr>
      <w:bookmarkStart w:id="91" w:name="_Toc387312438"/>
      <w:r>
        <w:rPr>
          <w:rFonts w:hint="eastAsia" w:ascii="宋体" w:hAnsi="宋体" w:cs="宋体"/>
          <w:snapToGrid w:val="0"/>
          <w:sz w:val="21"/>
          <w:szCs w:val="21"/>
        </w:rPr>
        <w:t>4.2  投标文件的递交</w:t>
      </w:r>
      <w:bookmarkEnd w:id="90"/>
      <w:bookmarkEnd w:id="91"/>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4.2.1  投标人应在本章第 2.2.2 项规定的投标截止时间前递交投标文件。</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4.2.2  投标人递交投标文件的地点：见投标人须知前附表。</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4.2.3  除投标人须知前附表另有规定外，投标人所递交的投标文件不予退还。</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4.2.4  逾期送达的或者未送达指定地点的投标文件，招标人不予受理。</w:t>
      </w:r>
    </w:p>
    <w:p>
      <w:pPr>
        <w:pStyle w:val="4"/>
        <w:snapToGrid w:val="0"/>
        <w:spacing w:before="0" w:line="360" w:lineRule="auto"/>
        <w:rPr>
          <w:rFonts w:ascii="宋体" w:hAnsi="宋体" w:cs="宋体"/>
          <w:snapToGrid w:val="0"/>
          <w:sz w:val="21"/>
          <w:szCs w:val="21"/>
        </w:rPr>
      </w:pPr>
      <w:bookmarkStart w:id="92" w:name="_Toc387312439"/>
      <w:bookmarkStart w:id="93" w:name="_Toc200513156"/>
      <w:r>
        <w:rPr>
          <w:rFonts w:hint="eastAsia" w:ascii="宋体" w:hAnsi="宋体" w:cs="宋体"/>
          <w:snapToGrid w:val="0"/>
          <w:sz w:val="21"/>
          <w:szCs w:val="21"/>
        </w:rPr>
        <w:t>4.3  投标文件的修改与撤回</w:t>
      </w:r>
      <w:bookmarkEnd w:id="92"/>
      <w:bookmarkEnd w:id="93"/>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4.3.1  在本章第2.2.2项规定的投标截止时间前，投标人可以修改或撤回已递交的投标文件，但应以书面形式通知招标人。</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4.3.2  投标人修改或撤回已递交投标文件的书面通知应按照本章第3.7.3项的要求签字或盖章。招标人收到书面通知后，向投标人出具签收凭证。</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4.3.3  修改的内容为投标文件的组成部分。修改的投标文件应按照本章第3条、第4条规定进行编制、密封、标记和递交，并标明“修改”字样。</w:t>
      </w:r>
    </w:p>
    <w:p>
      <w:pPr>
        <w:pStyle w:val="3"/>
        <w:rPr>
          <w:rFonts w:ascii="宋体" w:hAnsi="宋体" w:cs="宋体"/>
          <w:snapToGrid w:val="0"/>
          <w:sz w:val="21"/>
          <w:szCs w:val="21"/>
        </w:rPr>
      </w:pPr>
      <w:bookmarkStart w:id="94" w:name="_Toc200513157"/>
      <w:bookmarkStart w:id="95" w:name="_Toc387312440"/>
      <w:r>
        <w:rPr>
          <w:rFonts w:hint="eastAsia" w:ascii="宋体" w:hAnsi="宋体" w:cs="宋体"/>
          <w:snapToGrid w:val="0"/>
          <w:sz w:val="21"/>
          <w:szCs w:val="21"/>
        </w:rPr>
        <w:t>5.  开标</w:t>
      </w:r>
      <w:bookmarkEnd w:id="94"/>
      <w:bookmarkEnd w:id="95"/>
    </w:p>
    <w:p>
      <w:pPr>
        <w:spacing w:line="360" w:lineRule="auto"/>
        <w:rPr>
          <w:rFonts w:ascii="宋体" w:hAnsi="宋体" w:cs="宋体"/>
          <w:b/>
        </w:rPr>
      </w:pPr>
      <w:bookmarkStart w:id="96" w:name="_Toc387312441"/>
      <w:r>
        <w:rPr>
          <w:rFonts w:hint="eastAsia" w:ascii="宋体" w:hAnsi="宋体" w:cs="宋体"/>
          <w:b/>
        </w:rPr>
        <w:t>5.1  开标时间和地点</w:t>
      </w:r>
      <w:bookmarkEnd w:id="96"/>
    </w:p>
    <w:p>
      <w:pPr>
        <w:spacing w:line="360" w:lineRule="auto"/>
        <w:rPr>
          <w:rFonts w:ascii="宋体" w:hAnsi="宋体" w:cs="宋体"/>
        </w:rPr>
      </w:pPr>
      <w:bookmarkStart w:id="97" w:name="_Toc200513159"/>
      <w:r>
        <w:rPr>
          <w:rFonts w:hint="eastAsia" w:ascii="宋体" w:hAnsi="宋体" w:cs="宋体"/>
        </w:rPr>
        <w:t>招标人自行安排开标时间和地点。</w:t>
      </w:r>
    </w:p>
    <w:p>
      <w:pPr>
        <w:spacing w:line="360" w:lineRule="auto"/>
        <w:rPr>
          <w:rFonts w:ascii="宋体" w:hAnsi="宋体" w:cs="宋体"/>
          <w:b/>
        </w:rPr>
      </w:pPr>
      <w:bookmarkStart w:id="98" w:name="_Toc387312442"/>
      <w:r>
        <w:rPr>
          <w:rFonts w:hint="eastAsia" w:ascii="宋体" w:hAnsi="宋体" w:cs="宋体"/>
          <w:b/>
        </w:rPr>
        <w:t>5.2  开标程序</w:t>
      </w:r>
      <w:bookmarkEnd w:id="97"/>
      <w:bookmarkEnd w:id="98"/>
    </w:p>
    <w:p>
      <w:pPr>
        <w:spacing w:line="360" w:lineRule="auto"/>
        <w:rPr>
          <w:rFonts w:ascii="宋体" w:hAnsi="宋体" w:cs="宋体"/>
        </w:rPr>
      </w:pPr>
      <w:bookmarkStart w:id="99" w:name="_Toc462124236"/>
      <w:r>
        <w:rPr>
          <w:rFonts w:hint="eastAsia" w:ascii="宋体" w:hAnsi="宋体" w:cs="宋体"/>
        </w:rPr>
        <w:t>招标人按招标人公司要求进行监督开标。</w:t>
      </w:r>
      <w:bookmarkEnd w:id="99"/>
    </w:p>
    <w:p>
      <w:pPr>
        <w:pStyle w:val="3"/>
        <w:rPr>
          <w:rFonts w:ascii="宋体" w:hAnsi="宋体" w:cs="宋体"/>
          <w:snapToGrid w:val="0"/>
          <w:sz w:val="21"/>
          <w:szCs w:val="21"/>
        </w:rPr>
      </w:pPr>
      <w:bookmarkStart w:id="100" w:name="_Toc387312443"/>
      <w:bookmarkStart w:id="101" w:name="_Toc200513160"/>
      <w:r>
        <w:rPr>
          <w:rFonts w:hint="eastAsia" w:ascii="宋体" w:hAnsi="宋体" w:cs="宋体"/>
          <w:snapToGrid w:val="0"/>
          <w:sz w:val="21"/>
          <w:szCs w:val="21"/>
        </w:rPr>
        <w:t>6.  评标</w:t>
      </w:r>
      <w:bookmarkEnd w:id="100"/>
      <w:bookmarkEnd w:id="101"/>
    </w:p>
    <w:p>
      <w:pPr>
        <w:pStyle w:val="3"/>
        <w:rPr>
          <w:rFonts w:ascii="宋体" w:hAnsi="宋体" w:cs="宋体"/>
          <w:snapToGrid w:val="0"/>
          <w:sz w:val="21"/>
          <w:szCs w:val="21"/>
        </w:rPr>
      </w:pPr>
      <w:bookmarkStart w:id="102" w:name="_Toc387312444"/>
      <w:bookmarkStart w:id="103" w:name="_Toc200513161"/>
      <w:r>
        <w:rPr>
          <w:rFonts w:hint="eastAsia" w:ascii="宋体" w:hAnsi="宋体" w:cs="宋体"/>
          <w:snapToGrid w:val="0"/>
          <w:sz w:val="21"/>
          <w:szCs w:val="21"/>
        </w:rPr>
        <w:t>6.1  评标委员会</w:t>
      </w:r>
      <w:bookmarkEnd w:id="102"/>
      <w:bookmarkEnd w:id="103"/>
    </w:p>
    <w:p>
      <w:pPr>
        <w:autoSpaceDE w:val="0"/>
        <w:autoSpaceDN w:val="0"/>
        <w:adjustRightInd w:val="0"/>
        <w:snapToGrid w:val="0"/>
        <w:spacing w:line="360" w:lineRule="auto"/>
        <w:ind w:firstLine="472" w:firstLineChars="225"/>
        <w:rPr>
          <w:rFonts w:ascii="宋体" w:hAnsi="宋体" w:cs="宋体"/>
          <w:szCs w:val="21"/>
        </w:rPr>
      </w:pPr>
      <w:r>
        <w:rPr>
          <w:rFonts w:hint="eastAsia" w:ascii="宋体" w:hAnsi="宋体" w:cs="宋体"/>
          <w:szCs w:val="21"/>
        </w:rPr>
        <w:t>招标人自行组建，人员为三人以上奇数。</w:t>
      </w:r>
    </w:p>
    <w:p>
      <w:pPr>
        <w:pStyle w:val="4"/>
        <w:snapToGrid w:val="0"/>
        <w:spacing w:before="0" w:line="360" w:lineRule="auto"/>
        <w:rPr>
          <w:rFonts w:ascii="宋体" w:hAnsi="宋体" w:cs="宋体"/>
          <w:snapToGrid w:val="0"/>
          <w:sz w:val="21"/>
          <w:szCs w:val="21"/>
        </w:rPr>
      </w:pPr>
      <w:bookmarkStart w:id="104" w:name="_Toc200513162"/>
      <w:bookmarkStart w:id="105" w:name="_Toc387312445"/>
      <w:r>
        <w:rPr>
          <w:rFonts w:hint="eastAsia" w:ascii="宋体" w:hAnsi="宋体" w:cs="宋体"/>
          <w:snapToGrid w:val="0"/>
          <w:sz w:val="21"/>
          <w:szCs w:val="21"/>
        </w:rPr>
        <w:t>6.2  评标原则</w:t>
      </w:r>
      <w:bookmarkEnd w:id="104"/>
      <w:bookmarkEnd w:id="105"/>
    </w:p>
    <w:p>
      <w:pPr>
        <w:autoSpaceDE w:val="0"/>
        <w:autoSpaceDN w:val="0"/>
        <w:adjustRightInd w:val="0"/>
        <w:snapToGrid w:val="0"/>
        <w:spacing w:line="360" w:lineRule="auto"/>
        <w:ind w:firstLine="408"/>
        <w:jc w:val="left"/>
        <w:rPr>
          <w:rFonts w:ascii="宋体" w:hAnsi="宋体" w:cs="宋体"/>
          <w:snapToGrid w:val="0"/>
          <w:kern w:val="0"/>
          <w:szCs w:val="21"/>
        </w:rPr>
      </w:pPr>
      <w:r>
        <w:rPr>
          <w:rFonts w:hint="eastAsia" w:ascii="宋体" w:hAnsi="宋体" w:cs="宋体"/>
          <w:snapToGrid w:val="0"/>
          <w:kern w:val="0"/>
          <w:szCs w:val="21"/>
        </w:rPr>
        <w:t>评标活动遵循公平、公正、科学和择优的原则。</w:t>
      </w:r>
    </w:p>
    <w:p>
      <w:pPr>
        <w:pStyle w:val="4"/>
        <w:snapToGrid w:val="0"/>
        <w:spacing w:before="0" w:line="360" w:lineRule="auto"/>
        <w:rPr>
          <w:rFonts w:ascii="宋体" w:hAnsi="宋体" w:cs="宋体"/>
          <w:snapToGrid w:val="0"/>
          <w:sz w:val="21"/>
          <w:szCs w:val="21"/>
        </w:rPr>
      </w:pPr>
      <w:bookmarkStart w:id="106" w:name="_Toc200513163"/>
      <w:bookmarkStart w:id="107" w:name="_Toc387312446"/>
      <w:r>
        <w:rPr>
          <w:rFonts w:hint="eastAsia" w:ascii="宋体" w:hAnsi="宋体" w:cs="宋体"/>
          <w:snapToGrid w:val="0"/>
          <w:sz w:val="21"/>
          <w:szCs w:val="21"/>
        </w:rPr>
        <w:t>6.3  评标</w:t>
      </w:r>
      <w:bookmarkEnd w:id="106"/>
      <w:bookmarkEnd w:id="107"/>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在评标过程中评标委员会可随时要求投标单位补充资料，并澄清投标书中有疑问的问题，确认签字，投标单位在投标过程中提交的全部补充资料视为与标书同效。</w:t>
      </w:r>
    </w:p>
    <w:p>
      <w:pPr>
        <w:pStyle w:val="3"/>
        <w:rPr>
          <w:rFonts w:ascii="宋体" w:hAnsi="宋体" w:cs="宋体"/>
          <w:snapToGrid w:val="0"/>
          <w:sz w:val="21"/>
          <w:szCs w:val="21"/>
        </w:rPr>
      </w:pPr>
      <w:bookmarkStart w:id="108" w:name="_Toc200513164"/>
      <w:bookmarkStart w:id="109" w:name="_Toc387312447"/>
      <w:r>
        <w:rPr>
          <w:rFonts w:hint="eastAsia" w:ascii="宋体" w:hAnsi="宋体" w:cs="宋体"/>
          <w:snapToGrid w:val="0"/>
          <w:sz w:val="21"/>
          <w:szCs w:val="21"/>
        </w:rPr>
        <w:t>7.  合同授予</w:t>
      </w:r>
      <w:bookmarkEnd w:id="108"/>
      <w:bookmarkEnd w:id="109"/>
    </w:p>
    <w:p>
      <w:pPr>
        <w:pStyle w:val="4"/>
        <w:snapToGrid w:val="0"/>
        <w:spacing w:before="0" w:line="360" w:lineRule="auto"/>
        <w:rPr>
          <w:rFonts w:ascii="宋体" w:hAnsi="宋体" w:cs="宋体"/>
          <w:snapToGrid w:val="0"/>
          <w:sz w:val="21"/>
          <w:szCs w:val="21"/>
        </w:rPr>
      </w:pPr>
      <w:bookmarkStart w:id="110" w:name="_Toc387312448"/>
      <w:bookmarkStart w:id="111" w:name="_Toc200513165"/>
      <w:r>
        <w:rPr>
          <w:rFonts w:hint="eastAsia" w:ascii="宋体" w:hAnsi="宋体" w:cs="宋体"/>
          <w:snapToGrid w:val="0"/>
          <w:sz w:val="21"/>
          <w:szCs w:val="21"/>
        </w:rPr>
        <w:t>7.1  定标方式</w:t>
      </w:r>
      <w:bookmarkEnd w:id="110"/>
      <w:bookmarkEnd w:id="111"/>
    </w:p>
    <w:p>
      <w:pPr>
        <w:autoSpaceDE w:val="0"/>
        <w:autoSpaceDN w:val="0"/>
        <w:adjustRightInd w:val="0"/>
        <w:snapToGrid w:val="0"/>
        <w:spacing w:line="360" w:lineRule="auto"/>
        <w:ind w:firstLine="840" w:firstLineChars="400"/>
        <w:jc w:val="left"/>
        <w:rPr>
          <w:rFonts w:ascii="宋体" w:hAnsi="宋体" w:cs="宋体"/>
          <w:snapToGrid w:val="0"/>
          <w:kern w:val="0"/>
          <w:szCs w:val="21"/>
        </w:rPr>
      </w:pPr>
      <w:bookmarkStart w:id="112" w:name="_Toc387312449"/>
      <w:bookmarkStart w:id="113" w:name="_Toc200513166"/>
      <w:r>
        <w:rPr>
          <w:rFonts w:hint="eastAsia" w:ascii="宋体" w:hAnsi="宋体" w:cs="宋体"/>
          <w:snapToGrid w:val="0"/>
          <w:kern w:val="0"/>
          <w:szCs w:val="21"/>
        </w:rPr>
        <w:t>见评标办法。</w:t>
      </w:r>
    </w:p>
    <w:p>
      <w:pPr>
        <w:pStyle w:val="4"/>
        <w:snapToGrid w:val="0"/>
        <w:spacing w:before="0" w:line="360" w:lineRule="auto"/>
        <w:rPr>
          <w:rFonts w:ascii="宋体" w:hAnsi="宋体" w:cs="宋体"/>
          <w:snapToGrid w:val="0"/>
          <w:sz w:val="21"/>
          <w:szCs w:val="21"/>
        </w:rPr>
      </w:pPr>
      <w:r>
        <w:rPr>
          <w:rFonts w:hint="eastAsia" w:ascii="宋体" w:hAnsi="宋体" w:cs="宋体"/>
          <w:snapToGrid w:val="0"/>
          <w:sz w:val="21"/>
          <w:szCs w:val="21"/>
        </w:rPr>
        <w:t>7.2  中标通知</w:t>
      </w:r>
      <w:bookmarkEnd w:id="112"/>
      <w:bookmarkEnd w:id="113"/>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在规定的投标有效期内，招标人以书面通知的方式向中标人发出中标通知书，同时将中标结果通知未中标的投标人。</w:t>
      </w:r>
    </w:p>
    <w:p>
      <w:pPr>
        <w:pStyle w:val="4"/>
        <w:snapToGrid w:val="0"/>
        <w:spacing w:before="0" w:line="360" w:lineRule="auto"/>
        <w:rPr>
          <w:rFonts w:ascii="宋体" w:hAnsi="宋体" w:cs="宋体"/>
          <w:snapToGrid w:val="0"/>
          <w:sz w:val="21"/>
          <w:szCs w:val="21"/>
        </w:rPr>
      </w:pPr>
      <w:bookmarkStart w:id="114" w:name="_Toc200513167"/>
      <w:bookmarkStart w:id="115" w:name="_Toc387312450"/>
      <w:r>
        <w:rPr>
          <w:rFonts w:hint="eastAsia" w:ascii="宋体" w:hAnsi="宋体" w:cs="宋体"/>
          <w:snapToGrid w:val="0"/>
          <w:sz w:val="21"/>
          <w:szCs w:val="21"/>
        </w:rPr>
        <w:t>7.3  履约担保</w:t>
      </w:r>
      <w:bookmarkEnd w:id="114"/>
      <w:bookmarkEnd w:id="115"/>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 xml:space="preserve">7.3.1  </w:t>
      </w:r>
      <w:r>
        <w:rPr>
          <w:rFonts w:hint="eastAsia" w:ascii="宋体" w:hAnsi="宋体" w:cs="宋体"/>
          <w:kern w:val="0"/>
          <w:szCs w:val="21"/>
        </w:rPr>
        <w:t>中标人收到中标通知书后，</w:t>
      </w:r>
      <w:r>
        <w:rPr>
          <w:rFonts w:hint="eastAsia" w:ascii="宋体" w:hAnsi="宋体" w:cs="宋体"/>
          <w:snapToGrid w:val="0"/>
          <w:kern w:val="0"/>
          <w:szCs w:val="21"/>
        </w:rPr>
        <w:t>在签订合同前，中标人应按投标人须知前附表规定的金额、担保形式和招标文件 第四章“合同条款及格式”规定的履约担保格式向招标人提交履约担保。</w:t>
      </w:r>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7.3.2  投标人应按要求提交投标履约担保，并采用下列形式：</w:t>
      </w:r>
    </w:p>
    <w:p>
      <w:pPr>
        <w:snapToGrid w:val="0"/>
        <w:spacing w:line="360" w:lineRule="auto"/>
        <w:ind w:firstLine="420" w:firstLineChars="200"/>
        <w:rPr>
          <w:rFonts w:ascii="宋体" w:hAnsi="宋体" w:cs="宋体"/>
          <w:snapToGrid w:val="0"/>
          <w:kern w:val="0"/>
          <w:szCs w:val="21"/>
        </w:rPr>
      </w:pPr>
      <w:r>
        <w:rPr>
          <w:rFonts w:hint="eastAsia" w:ascii="宋体" w:hAnsi="宋体" w:cs="宋体"/>
          <w:snapToGrid w:val="0"/>
          <w:kern w:val="0"/>
          <w:szCs w:val="21"/>
        </w:rPr>
        <w:t>（1）投标人从企业的基本账户（开户行）在中标通知书发出7个工作日内，签订施工合同前通过转账支票直接划付或以电汇方式直接划付至下面指定的履约担保账户，若为银行保函，银行保函需采用签订本合同的基本账户开具，否则，履约担保无效。投标人自行考虑汇入时间风险，如同城汇入、异地汇入、跨行汇入的时间要求。</w:t>
      </w:r>
    </w:p>
    <w:p>
      <w:pPr>
        <w:snapToGrid w:val="0"/>
        <w:spacing w:line="360" w:lineRule="auto"/>
        <w:ind w:firstLine="420" w:firstLineChars="200"/>
        <w:rPr>
          <w:rFonts w:ascii="宋体" w:hAnsi="宋体" w:cs="宋体"/>
          <w:snapToGrid w:val="0"/>
          <w:kern w:val="0"/>
          <w:szCs w:val="21"/>
        </w:rPr>
      </w:pPr>
      <w:r>
        <w:rPr>
          <w:rFonts w:hint="eastAsia" w:ascii="宋体" w:hAnsi="宋体" w:cs="宋体"/>
          <w:snapToGrid w:val="0"/>
          <w:kern w:val="0"/>
          <w:szCs w:val="21"/>
        </w:rPr>
        <w:t>（2）履约担保的金额：</w:t>
      </w:r>
      <w:r>
        <w:rPr>
          <w:rFonts w:hint="eastAsia" w:ascii="宋体" w:hAnsi="宋体" w:cs="宋体"/>
          <w:kern w:val="0"/>
          <w:szCs w:val="21"/>
          <w:u w:val="single"/>
        </w:rPr>
        <w:t>合同金额的 10 %；</w:t>
      </w:r>
    </w:p>
    <w:p>
      <w:pPr>
        <w:snapToGrid w:val="0"/>
        <w:spacing w:line="360" w:lineRule="auto"/>
        <w:ind w:firstLine="420" w:firstLineChars="200"/>
        <w:rPr>
          <w:rFonts w:ascii="宋体" w:hAnsi="宋体" w:cs="宋体"/>
          <w:snapToGrid w:val="0"/>
          <w:kern w:val="0"/>
          <w:szCs w:val="21"/>
        </w:rPr>
      </w:pPr>
      <w:r>
        <w:rPr>
          <w:rFonts w:hint="eastAsia" w:ascii="宋体" w:hAnsi="宋体" w:cs="宋体"/>
          <w:snapToGrid w:val="0"/>
          <w:kern w:val="0"/>
          <w:szCs w:val="21"/>
        </w:rPr>
        <w:t>（3）履约担保账户及账号：</w:t>
      </w:r>
    </w:p>
    <w:p>
      <w:pPr>
        <w:snapToGrid w:val="0"/>
        <w:spacing w:line="360" w:lineRule="auto"/>
        <w:ind w:firstLine="945" w:firstLineChars="450"/>
        <w:rPr>
          <w:rFonts w:ascii="宋体" w:hAnsi="宋体" w:cs="宋体"/>
          <w:snapToGrid w:val="0"/>
          <w:kern w:val="0"/>
          <w:szCs w:val="21"/>
        </w:rPr>
      </w:pPr>
      <w:r>
        <w:rPr>
          <w:rFonts w:hint="eastAsia" w:ascii="宋体" w:hAnsi="宋体" w:cs="宋体"/>
          <w:snapToGrid w:val="0"/>
          <w:kern w:val="0"/>
          <w:szCs w:val="21"/>
        </w:rPr>
        <w:t>户名：中机中联工程有限公司</w:t>
      </w:r>
    </w:p>
    <w:p>
      <w:pPr>
        <w:snapToGrid w:val="0"/>
        <w:spacing w:line="360" w:lineRule="auto"/>
        <w:ind w:firstLine="945" w:firstLineChars="450"/>
        <w:rPr>
          <w:rFonts w:ascii="宋体" w:hAnsi="宋体" w:cs="宋体"/>
          <w:snapToGrid w:val="0"/>
          <w:kern w:val="0"/>
          <w:szCs w:val="21"/>
        </w:rPr>
      </w:pPr>
      <w:r>
        <w:rPr>
          <w:rFonts w:hint="eastAsia" w:ascii="宋体" w:hAnsi="宋体" w:cs="宋体"/>
          <w:snapToGrid w:val="0"/>
          <w:kern w:val="0"/>
          <w:szCs w:val="21"/>
        </w:rPr>
        <w:t>开户银行：中国建设银行股份有限公司重庆九龙坡石桥铺支行</w:t>
      </w:r>
    </w:p>
    <w:p>
      <w:pPr>
        <w:snapToGrid w:val="0"/>
        <w:spacing w:line="360" w:lineRule="auto"/>
        <w:ind w:firstLine="945" w:firstLineChars="450"/>
        <w:rPr>
          <w:rFonts w:ascii="宋体" w:hAnsi="宋体" w:cs="宋体"/>
          <w:snapToGrid w:val="0"/>
          <w:kern w:val="0"/>
          <w:szCs w:val="21"/>
        </w:rPr>
      </w:pPr>
      <w:r>
        <w:rPr>
          <w:rFonts w:hint="eastAsia" w:ascii="宋体" w:hAnsi="宋体" w:cs="宋体"/>
          <w:snapToGrid w:val="0"/>
          <w:kern w:val="0"/>
          <w:szCs w:val="21"/>
        </w:rPr>
        <w:t>银行帐号：50001045000059888888</w:t>
      </w:r>
    </w:p>
    <w:p>
      <w:pPr>
        <w:autoSpaceDE w:val="0"/>
        <w:autoSpaceDN w:val="0"/>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 xml:space="preserve">7.3.3中标人不能按本章第7.3.1项要求提交履约担保的，视为放弃中标，其投标保证金不予退还，给招标人造成的损失超过投标保证金数额的，中标人还应当对超过部分予以赔偿。 </w:t>
      </w:r>
    </w:p>
    <w:p>
      <w:pPr>
        <w:pStyle w:val="4"/>
        <w:snapToGrid w:val="0"/>
        <w:spacing w:before="0" w:line="360" w:lineRule="auto"/>
        <w:rPr>
          <w:rFonts w:ascii="宋体" w:hAnsi="宋体" w:cs="宋体"/>
          <w:snapToGrid w:val="0"/>
          <w:sz w:val="21"/>
          <w:szCs w:val="21"/>
        </w:rPr>
      </w:pPr>
      <w:bookmarkStart w:id="116" w:name="_Toc387312451"/>
      <w:bookmarkStart w:id="117" w:name="_Toc200513168"/>
      <w:r>
        <w:rPr>
          <w:rFonts w:hint="eastAsia" w:ascii="宋体" w:hAnsi="宋体" w:cs="宋体"/>
          <w:snapToGrid w:val="0"/>
          <w:sz w:val="21"/>
          <w:szCs w:val="21"/>
        </w:rPr>
        <w:t>7.4  签订合同</w:t>
      </w:r>
      <w:bookmarkEnd w:id="116"/>
      <w:bookmarkEnd w:id="117"/>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7.4.1 招标人和中标人应当自中标通知书发出之日起7天内，根据招标文件和中标人的投标文件订立书面合同。中标人无正当理由拒签合同的，招标人取消其中标资格，其投标保证金不予退还；给招标人造成的损失超过投标保证金数额的，中标人还应当对超过部分予以赔偿。招标人将书面报告行业行政主管部门，并由行业主管部门上报中标人的不良信息。</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7.4.2 发出中标通知书后，招标人无正当理由拒签合同的，招标人向中标人无息退还投标保证金；给中标人造成损失的，还应当赔偿损失。</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7.4.3中标人签订合同后，其在投标文件中提供的主要人员不得变更，若要变更，必须事先征得招标人同意并得到招标人书面批准，且变更后的人员不得低于原提供的人员的条件，否则，视为违约，招标人有权中止合同，中标人必须承担相应的违约责任。</w:t>
      </w:r>
    </w:p>
    <w:p>
      <w:pPr>
        <w:autoSpaceDE w:val="0"/>
        <w:autoSpaceDN w:val="0"/>
        <w:adjustRightInd w:val="0"/>
        <w:snapToGrid w:val="0"/>
        <w:spacing w:line="360" w:lineRule="auto"/>
        <w:ind w:firstLine="472" w:firstLineChars="225"/>
        <w:rPr>
          <w:rFonts w:ascii="宋体" w:hAnsi="宋体" w:cs="宋体"/>
          <w:kern w:val="0"/>
          <w:szCs w:val="21"/>
        </w:rPr>
      </w:pPr>
      <w:r>
        <w:rPr>
          <w:rFonts w:hint="eastAsia" w:ascii="宋体" w:hAnsi="宋体" w:cs="宋体"/>
          <w:kern w:val="0"/>
          <w:szCs w:val="21"/>
        </w:rPr>
        <w:t>7.4.4签订合同后，承包人放弃承包权或因自身原因（如资金不保证，设备、机具、劳动力等资源不保证等等）不施工或施工严重滞后</w:t>
      </w:r>
      <w:bookmarkStart w:id="118" w:name="_Toc200513170"/>
      <w:bookmarkStart w:id="119" w:name="_Toc270323761"/>
      <w:r>
        <w:rPr>
          <w:rFonts w:hint="eastAsia" w:ascii="宋体" w:hAnsi="宋体" w:cs="宋体"/>
          <w:kern w:val="0"/>
          <w:szCs w:val="21"/>
        </w:rPr>
        <w:t>，发包人有权终止合</w:t>
      </w:r>
      <w:bookmarkEnd w:id="118"/>
      <w:bookmarkEnd w:id="119"/>
      <w:r>
        <w:rPr>
          <w:rFonts w:hint="eastAsia" w:ascii="宋体" w:hAnsi="宋体" w:cs="宋体"/>
          <w:kern w:val="0"/>
          <w:szCs w:val="21"/>
        </w:rPr>
        <w:t>同，并没收其履约保证金。</w:t>
      </w:r>
    </w:p>
    <w:p>
      <w:pPr>
        <w:autoSpaceDE w:val="0"/>
        <w:autoSpaceDN w:val="0"/>
        <w:adjustRightInd w:val="0"/>
        <w:snapToGrid w:val="0"/>
        <w:spacing w:line="360" w:lineRule="auto"/>
        <w:jc w:val="left"/>
        <w:rPr>
          <w:rFonts w:ascii="宋体" w:hAnsi="宋体" w:cs="宋体"/>
          <w:b/>
          <w:bCs/>
          <w:kern w:val="0"/>
          <w:szCs w:val="21"/>
        </w:rPr>
      </w:pPr>
      <w:bookmarkStart w:id="120" w:name="_Toc287620728"/>
      <w:bookmarkStart w:id="121" w:name="_Toc200513169"/>
      <w:bookmarkStart w:id="122" w:name="_Toc224103360"/>
      <w:bookmarkStart w:id="123" w:name="_Toc287607789"/>
      <w:bookmarkStart w:id="124" w:name="_Toc277082595"/>
      <w:r>
        <w:rPr>
          <w:rFonts w:hint="eastAsia" w:ascii="宋体" w:hAnsi="宋体" w:cs="宋体"/>
          <w:b/>
          <w:bCs/>
          <w:kern w:val="0"/>
          <w:szCs w:val="21"/>
        </w:rPr>
        <w:t>8.  重新招标</w:t>
      </w:r>
      <w:bookmarkEnd w:id="120"/>
      <w:bookmarkEnd w:id="121"/>
      <w:bookmarkEnd w:id="122"/>
      <w:bookmarkEnd w:id="123"/>
      <w:bookmarkEnd w:id="124"/>
    </w:p>
    <w:p>
      <w:pPr>
        <w:pStyle w:val="4"/>
        <w:snapToGrid w:val="0"/>
        <w:spacing w:line="360" w:lineRule="auto"/>
        <w:rPr>
          <w:rFonts w:ascii="宋体" w:hAnsi="宋体" w:cs="宋体"/>
          <w:b w:val="0"/>
          <w:snapToGrid w:val="0"/>
          <w:sz w:val="21"/>
          <w:szCs w:val="21"/>
        </w:rPr>
      </w:pPr>
      <w:r>
        <w:rPr>
          <w:rFonts w:hint="eastAsia" w:ascii="宋体" w:hAnsi="宋体" w:cs="宋体"/>
          <w:snapToGrid w:val="0"/>
          <w:sz w:val="21"/>
          <w:szCs w:val="21"/>
        </w:rPr>
        <w:t>8.1  重新招标</w:t>
      </w:r>
    </w:p>
    <w:p>
      <w:pPr>
        <w:autoSpaceDE w:val="0"/>
        <w:autoSpaceDN w:val="0"/>
        <w:adjustRightInd w:val="0"/>
        <w:snapToGrid w:val="0"/>
        <w:spacing w:line="360" w:lineRule="auto"/>
        <w:ind w:firstLine="420" w:firstLineChars="200"/>
        <w:jc w:val="left"/>
        <w:rPr>
          <w:rFonts w:ascii="宋体" w:hAnsi="宋体" w:cs="宋体"/>
          <w:snapToGrid w:val="0"/>
          <w:kern w:val="0"/>
          <w:szCs w:val="21"/>
        </w:rPr>
      </w:pPr>
      <w:r>
        <w:rPr>
          <w:rFonts w:hint="eastAsia" w:ascii="宋体" w:hAnsi="宋体" w:cs="宋体"/>
          <w:snapToGrid w:val="0"/>
          <w:kern w:val="0"/>
          <w:szCs w:val="21"/>
        </w:rPr>
        <w:t>有下列情形之一的，招标人将重新招标；</w:t>
      </w:r>
    </w:p>
    <w:p>
      <w:pPr>
        <w:autoSpaceDE w:val="0"/>
        <w:autoSpaceDN w:val="0"/>
        <w:adjustRightInd w:val="0"/>
        <w:snapToGrid w:val="0"/>
        <w:spacing w:line="360" w:lineRule="auto"/>
        <w:ind w:firstLine="315" w:firstLineChars="150"/>
        <w:jc w:val="left"/>
        <w:rPr>
          <w:rFonts w:ascii="宋体" w:hAnsi="宋体" w:cs="宋体"/>
          <w:snapToGrid w:val="0"/>
          <w:kern w:val="0"/>
          <w:szCs w:val="21"/>
        </w:rPr>
      </w:pPr>
      <w:r>
        <w:rPr>
          <w:rFonts w:hint="eastAsia" w:ascii="宋体" w:hAnsi="宋体" w:cs="宋体"/>
          <w:snapToGrid w:val="0"/>
          <w:kern w:val="0"/>
          <w:szCs w:val="21"/>
        </w:rPr>
        <w:t>（1）投标截至时间止，投标人少于3个的；</w:t>
      </w:r>
    </w:p>
    <w:p>
      <w:pPr>
        <w:autoSpaceDE w:val="0"/>
        <w:autoSpaceDN w:val="0"/>
        <w:adjustRightInd w:val="0"/>
        <w:snapToGrid w:val="0"/>
        <w:spacing w:line="360" w:lineRule="auto"/>
        <w:ind w:firstLine="315" w:firstLineChars="150"/>
        <w:jc w:val="left"/>
        <w:rPr>
          <w:rFonts w:ascii="宋体" w:hAnsi="宋体" w:cs="宋体"/>
          <w:snapToGrid w:val="0"/>
          <w:kern w:val="0"/>
          <w:szCs w:val="21"/>
        </w:rPr>
      </w:pPr>
      <w:r>
        <w:rPr>
          <w:rFonts w:hint="eastAsia" w:ascii="宋体" w:hAnsi="宋体" w:cs="宋体"/>
          <w:snapToGrid w:val="0"/>
          <w:kern w:val="0"/>
          <w:szCs w:val="21"/>
        </w:rPr>
        <w:t>（2）经评标委员会评审后否决所有投标的。</w:t>
      </w:r>
    </w:p>
    <w:p>
      <w:pPr>
        <w:pStyle w:val="3"/>
        <w:rPr>
          <w:rFonts w:ascii="宋体" w:hAnsi="宋体" w:cs="宋体"/>
          <w:snapToGrid w:val="0"/>
          <w:sz w:val="21"/>
          <w:szCs w:val="21"/>
        </w:rPr>
      </w:pPr>
      <w:bookmarkStart w:id="125" w:name="_Toc387312455"/>
      <w:bookmarkStart w:id="126" w:name="_Toc200513172"/>
      <w:r>
        <w:rPr>
          <w:rFonts w:hint="eastAsia" w:ascii="宋体" w:hAnsi="宋体" w:cs="宋体"/>
          <w:snapToGrid w:val="0"/>
          <w:sz w:val="21"/>
          <w:szCs w:val="21"/>
        </w:rPr>
        <w:t>9.  纪律和监督</w:t>
      </w:r>
      <w:bookmarkEnd w:id="125"/>
      <w:bookmarkEnd w:id="126"/>
    </w:p>
    <w:p>
      <w:pPr>
        <w:pStyle w:val="4"/>
        <w:snapToGrid w:val="0"/>
        <w:spacing w:before="0" w:line="360" w:lineRule="auto"/>
        <w:rPr>
          <w:rFonts w:ascii="宋体" w:hAnsi="宋体" w:cs="宋体"/>
          <w:snapToGrid w:val="0"/>
          <w:sz w:val="21"/>
          <w:szCs w:val="21"/>
        </w:rPr>
      </w:pPr>
      <w:bookmarkStart w:id="127" w:name="_Toc387312456"/>
      <w:bookmarkStart w:id="128" w:name="_Toc200513173"/>
      <w:r>
        <w:rPr>
          <w:rFonts w:hint="eastAsia" w:ascii="宋体" w:hAnsi="宋体" w:cs="宋体"/>
          <w:snapToGrid w:val="0"/>
          <w:sz w:val="21"/>
          <w:szCs w:val="21"/>
        </w:rPr>
        <w:t>9.1  对招标人的纪律要求</w:t>
      </w:r>
      <w:bookmarkEnd w:id="127"/>
      <w:bookmarkEnd w:id="128"/>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招标人不得泄漏招标投标活动中应当保密的情况和资料，不得与投标人串通损害国家利益、社会公共利益或者他人合法权益。</w:t>
      </w:r>
    </w:p>
    <w:p>
      <w:pPr>
        <w:pStyle w:val="4"/>
        <w:snapToGrid w:val="0"/>
        <w:spacing w:before="0" w:line="360" w:lineRule="auto"/>
        <w:rPr>
          <w:rFonts w:ascii="宋体" w:hAnsi="宋体" w:cs="宋体"/>
          <w:snapToGrid w:val="0"/>
          <w:sz w:val="21"/>
          <w:szCs w:val="21"/>
        </w:rPr>
      </w:pPr>
      <w:bookmarkStart w:id="129" w:name="_Toc387312457"/>
      <w:bookmarkStart w:id="130" w:name="_Toc200513174"/>
      <w:r>
        <w:rPr>
          <w:rFonts w:hint="eastAsia" w:ascii="宋体" w:hAnsi="宋体" w:cs="宋体"/>
          <w:snapToGrid w:val="0"/>
          <w:sz w:val="21"/>
          <w:szCs w:val="21"/>
        </w:rPr>
        <w:t>9.2  对投标人的纪律要求</w:t>
      </w:r>
      <w:bookmarkEnd w:id="129"/>
      <w:bookmarkEnd w:id="130"/>
    </w:p>
    <w:p>
      <w:pPr>
        <w:autoSpaceDE w:val="0"/>
        <w:autoSpaceDN w:val="0"/>
        <w:adjustRightInd w:val="0"/>
        <w:snapToGrid w:val="0"/>
        <w:spacing w:line="360" w:lineRule="auto"/>
        <w:ind w:firstLine="420"/>
        <w:rPr>
          <w:rFonts w:ascii="宋体" w:hAnsi="宋体" w:cs="宋体"/>
          <w:szCs w:val="21"/>
        </w:rPr>
      </w:pPr>
      <w:bookmarkStart w:id="131" w:name="_Toc200513175"/>
      <w:bookmarkStart w:id="132" w:name="_Toc387312458"/>
      <w:r>
        <w:rPr>
          <w:rFonts w:hint="eastAsia" w:ascii="宋体" w:hAnsi="宋体" w:cs="宋体"/>
          <w:snapToGrid w:val="0"/>
          <w:kern w:val="0"/>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r>
        <w:rPr>
          <w:rFonts w:hint="eastAsia" w:ascii="宋体" w:hAnsi="宋体" w:cs="宋体"/>
          <w:szCs w:val="21"/>
        </w:rPr>
        <w:br w:type="textWrapping"/>
      </w:r>
      <w:r>
        <w:rPr>
          <w:rFonts w:hint="eastAsia" w:ascii="宋体" w:hAnsi="宋体" w:cs="宋体"/>
          <w:szCs w:val="21"/>
        </w:rPr>
        <w:t>   有下列情形之一的，属于投标人相互串通投标：</w:t>
      </w:r>
      <w:r>
        <w:rPr>
          <w:rFonts w:hint="eastAsia" w:ascii="宋体" w:hAnsi="宋体" w:cs="宋体"/>
          <w:szCs w:val="21"/>
        </w:rPr>
        <w:br w:type="textWrapping"/>
      </w:r>
      <w:r>
        <w:rPr>
          <w:rFonts w:hint="eastAsia" w:ascii="宋体" w:hAnsi="宋体" w:cs="宋体"/>
          <w:szCs w:val="21"/>
        </w:rPr>
        <w:t xml:space="preserve">  （1）投标人之间协商投标报价等投标文件的实质性内容；</w:t>
      </w:r>
      <w:r>
        <w:rPr>
          <w:rFonts w:hint="eastAsia" w:ascii="宋体" w:hAnsi="宋体" w:cs="宋体"/>
          <w:szCs w:val="21"/>
        </w:rPr>
        <w:br w:type="textWrapping"/>
      </w:r>
      <w:r>
        <w:rPr>
          <w:rFonts w:hint="eastAsia" w:ascii="宋体" w:hAnsi="宋体" w:cs="宋体"/>
          <w:szCs w:val="21"/>
        </w:rPr>
        <w:t xml:space="preserve">  （2）投标人之间约定中标人；</w:t>
      </w:r>
      <w:r>
        <w:rPr>
          <w:rFonts w:hint="eastAsia" w:ascii="宋体" w:hAnsi="宋体" w:cs="宋体"/>
          <w:szCs w:val="21"/>
        </w:rPr>
        <w:br w:type="textWrapping"/>
      </w:r>
      <w:r>
        <w:rPr>
          <w:rFonts w:hint="eastAsia" w:ascii="宋体" w:hAnsi="宋体" w:cs="宋体"/>
          <w:szCs w:val="21"/>
        </w:rPr>
        <w:t xml:space="preserve">  （3）投标人之间约定部分投标人放弃投标或者中标；</w:t>
      </w:r>
      <w:r>
        <w:rPr>
          <w:rFonts w:hint="eastAsia" w:ascii="宋体" w:hAnsi="宋体" w:cs="宋体"/>
          <w:szCs w:val="21"/>
        </w:rPr>
        <w:br w:type="textWrapping"/>
      </w:r>
      <w:r>
        <w:rPr>
          <w:rFonts w:hint="eastAsia" w:ascii="宋体" w:hAnsi="宋体" w:cs="宋体"/>
          <w:szCs w:val="21"/>
        </w:rPr>
        <w:t xml:space="preserve">  （4）属于同一集团、协会、商会等组织成员的投标人按照该组织要求协同投标；</w:t>
      </w:r>
      <w:r>
        <w:rPr>
          <w:rFonts w:hint="eastAsia" w:ascii="宋体" w:hAnsi="宋体" w:cs="宋体"/>
          <w:szCs w:val="21"/>
        </w:rPr>
        <w:br w:type="textWrapping"/>
      </w:r>
      <w:r>
        <w:rPr>
          <w:rFonts w:hint="eastAsia" w:ascii="宋体" w:hAnsi="宋体" w:cs="宋体"/>
          <w:szCs w:val="21"/>
        </w:rPr>
        <w:t xml:space="preserve">  （5）投标人之间为谋取中标或者排斥特定投标人而采取的其他联合行动。</w:t>
      </w:r>
      <w:r>
        <w:rPr>
          <w:rFonts w:hint="eastAsia" w:ascii="宋体" w:hAnsi="宋体" w:cs="宋体"/>
          <w:szCs w:val="21"/>
        </w:rPr>
        <w:br w:type="textWrapping"/>
      </w:r>
      <w:r>
        <w:rPr>
          <w:rFonts w:hint="eastAsia" w:ascii="宋体" w:hAnsi="宋体" w:cs="宋体"/>
          <w:szCs w:val="21"/>
        </w:rPr>
        <w:t xml:space="preserve">  有下列情形之一的，视为投标人相互串通投标：</w:t>
      </w:r>
      <w:r>
        <w:rPr>
          <w:rFonts w:hint="eastAsia" w:ascii="宋体" w:hAnsi="宋体" w:cs="宋体"/>
          <w:szCs w:val="21"/>
        </w:rPr>
        <w:br w:type="textWrapping"/>
      </w:r>
      <w:r>
        <w:rPr>
          <w:rFonts w:hint="eastAsia" w:ascii="宋体" w:hAnsi="宋体" w:cs="宋体"/>
          <w:szCs w:val="21"/>
        </w:rPr>
        <w:t xml:space="preserve">  （1）不同投标人的投标文件由同一单位或者个人编制；</w:t>
      </w:r>
      <w:r>
        <w:rPr>
          <w:rFonts w:hint="eastAsia" w:ascii="宋体" w:hAnsi="宋体" w:cs="宋体"/>
          <w:szCs w:val="21"/>
        </w:rPr>
        <w:br w:type="textWrapping"/>
      </w:r>
      <w:r>
        <w:rPr>
          <w:rFonts w:hint="eastAsia" w:ascii="宋体" w:hAnsi="宋体" w:cs="宋体"/>
          <w:szCs w:val="21"/>
        </w:rPr>
        <w:t xml:space="preserve">  （2）不同投标人委托同一单位或者个人办理投标事宜；</w:t>
      </w:r>
      <w:r>
        <w:rPr>
          <w:rFonts w:hint="eastAsia" w:ascii="宋体" w:hAnsi="宋体" w:cs="宋体"/>
          <w:szCs w:val="21"/>
        </w:rPr>
        <w:br w:type="textWrapping"/>
      </w:r>
      <w:r>
        <w:rPr>
          <w:rFonts w:hint="eastAsia" w:ascii="宋体" w:hAnsi="宋体" w:cs="宋体"/>
          <w:szCs w:val="21"/>
        </w:rPr>
        <w:t xml:space="preserve">  （3）不同投标人的投标文件载明的项目管理成员为同一人；</w:t>
      </w:r>
      <w:r>
        <w:rPr>
          <w:rFonts w:hint="eastAsia" w:ascii="宋体" w:hAnsi="宋体" w:cs="宋体"/>
          <w:szCs w:val="21"/>
        </w:rPr>
        <w:br w:type="textWrapping"/>
      </w:r>
      <w:r>
        <w:rPr>
          <w:rFonts w:hint="eastAsia" w:ascii="宋体" w:hAnsi="宋体" w:cs="宋体"/>
          <w:szCs w:val="21"/>
        </w:rPr>
        <w:t xml:space="preserve">  （4）不同投标人的投标文件异常一致或者投标报价呈规律性差异；</w:t>
      </w:r>
      <w:r>
        <w:rPr>
          <w:rFonts w:hint="eastAsia" w:ascii="宋体" w:hAnsi="宋体" w:cs="宋体"/>
          <w:szCs w:val="21"/>
        </w:rPr>
        <w:br w:type="textWrapping"/>
      </w:r>
      <w:r>
        <w:rPr>
          <w:rFonts w:hint="eastAsia" w:ascii="宋体" w:hAnsi="宋体" w:cs="宋体"/>
          <w:szCs w:val="21"/>
        </w:rPr>
        <w:t xml:space="preserve">  （5）不同投标人的投标文件相互混装；</w:t>
      </w:r>
      <w:r>
        <w:rPr>
          <w:rFonts w:hint="eastAsia" w:ascii="宋体" w:hAnsi="宋体" w:cs="宋体"/>
          <w:szCs w:val="21"/>
        </w:rPr>
        <w:br w:type="textWrapping"/>
      </w:r>
      <w:r>
        <w:rPr>
          <w:rFonts w:hint="eastAsia" w:ascii="宋体" w:hAnsi="宋体" w:cs="宋体"/>
          <w:szCs w:val="21"/>
        </w:rPr>
        <w:t xml:space="preserve">  （6）不同投标人的投标保证金从同一单位或者个人的账户转出。</w:t>
      </w:r>
    </w:p>
    <w:p>
      <w:pPr>
        <w:autoSpaceDE w:val="0"/>
        <w:autoSpaceDN w:val="0"/>
        <w:adjustRightInd w:val="0"/>
        <w:snapToGrid w:val="0"/>
        <w:spacing w:line="360" w:lineRule="auto"/>
        <w:ind w:firstLine="210" w:firstLineChars="100"/>
        <w:rPr>
          <w:rFonts w:ascii="宋体" w:hAnsi="宋体" w:cs="宋体"/>
          <w:szCs w:val="21"/>
        </w:rPr>
      </w:pPr>
      <w:r>
        <w:rPr>
          <w:rFonts w:hint="eastAsia" w:ascii="宋体" w:hAnsi="宋体" w:cs="宋体"/>
          <w:szCs w:val="21"/>
        </w:rPr>
        <w:t>（7）使用通过受让或者租借等方式获取的资格、资质证书投标的，属于以他人名义投标。</w:t>
      </w:r>
      <w:r>
        <w:rPr>
          <w:rFonts w:hint="eastAsia" w:ascii="宋体" w:hAnsi="宋体" w:cs="宋体"/>
          <w:szCs w:val="21"/>
        </w:rPr>
        <w:br w:type="textWrapping"/>
      </w:r>
      <w:r>
        <w:rPr>
          <w:rFonts w:hint="eastAsia" w:ascii="宋体" w:hAnsi="宋体" w:cs="宋体"/>
          <w:szCs w:val="21"/>
        </w:rPr>
        <w:t xml:space="preserve">  投标人有下列情形之一的，属于以其他方式弄虚作假的行为：</w:t>
      </w:r>
      <w:r>
        <w:rPr>
          <w:rFonts w:hint="eastAsia" w:ascii="宋体" w:hAnsi="宋体" w:cs="宋体"/>
          <w:szCs w:val="21"/>
        </w:rPr>
        <w:br w:type="textWrapping"/>
      </w:r>
      <w:r>
        <w:rPr>
          <w:rFonts w:hint="eastAsia" w:ascii="宋体" w:hAnsi="宋体" w:cs="宋体"/>
          <w:szCs w:val="21"/>
        </w:rPr>
        <w:t xml:space="preserve">  （一）使用伪造、变造的许可证件；</w:t>
      </w:r>
      <w:r>
        <w:rPr>
          <w:rFonts w:hint="eastAsia" w:ascii="宋体" w:hAnsi="宋体" w:cs="宋体"/>
          <w:szCs w:val="21"/>
        </w:rPr>
        <w:br w:type="textWrapping"/>
      </w:r>
      <w:r>
        <w:rPr>
          <w:rFonts w:hint="eastAsia" w:ascii="宋体" w:hAnsi="宋体" w:cs="宋体"/>
          <w:szCs w:val="21"/>
        </w:rPr>
        <w:t xml:space="preserve">  （二）提供虚假的财务状况或者业绩；</w:t>
      </w:r>
      <w:r>
        <w:rPr>
          <w:rFonts w:hint="eastAsia" w:ascii="宋体" w:hAnsi="宋体" w:cs="宋体"/>
          <w:szCs w:val="21"/>
        </w:rPr>
        <w:br w:type="textWrapping"/>
      </w:r>
      <w:r>
        <w:rPr>
          <w:rFonts w:hint="eastAsia" w:ascii="宋体" w:hAnsi="宋体" w:cs="宋体"/>
          <w:szCs w:val="21"/>
        </w:rPr>
        <w:t xml:space="preserve">  （三）提供虚假的项目负责人或者主要技术人员简历、劳动关系证明；</w:t>
      </w:r>
      <w:r>
        <w:rPr>
          <w:rFonts w:hint="eastAsia" w:ascii="宋体" w:hAnsi="宋体" w:cs="宋体"/>
          <w:szCs w:val="21"/>
        </w:rPr>
        <w:br w:type="textWrapping"/>
      </w:r>
      <w:bookmarkStart w:id="133" w:name="_Toc270323766"/>
      <w:r>
        <w:rPr>
          <w:rFonts w:hint="eastAsia" w:ascii="宋体" w:hAnsi="宋体" w:cs="宋体"/>
          <w:szCs w:val="21"/>
        </w:rPr>
        <w:t xml:space="preserve">  （四）提供虚假的信用状况；</w:t>
      </w:r>
      <w:r>
        <w:rPr>
          <w:rFonts w:hint="eastAsia" w:ascii="宋体" w:hAnsi="宋体" w:cs="宋体"/>
          <w:szCs w:val="21"/>
        </w:rPr>
        <w:br w:type="textWrapping"/>
      </w:r>
      <w:bookmarkEnd w:id="133"/>
      <w:r>
        <w:rPr>
          <w:rFonts w:hint="eastAsia" w:ascii="宋体" w:hAnsi="宋体" w:cs="宋体"/>
          <w:szCs w:val="21"/>
        </w:rPr>
        <w:t xml:space="preserve">  （五）其他弄虚作假的行为。</w:t>
      </w:r>
    </w:p>
    <w:p>
      <w:pPr>
        <w:autoSpaceDE w:val="0"/>
        <w:autoSpaceDN w:val="0"/>
        <w:adjustRightInd w:val="0"/>
        <w:snapToGrid w:val="0"/>
        <w:spacing w:line="360" w:lineRule="auto"/>
        <w:jc w:val="left"/>
        <w:rPr>
          <w:rFonts w:ascii="宋体" w:hAnsi="宋体" w:cs="宋体"/>
          <w:b/>
          <w:snapToGrid w:val="0"/>
          <w:szCs w:val="21"/>
        </w:rPr>
      </w:pPr>
      <w:r>
        <w:rPr>
          <w:rFonts w:hint="eastAsia" w:ascii="宋体" w:hAnsi="宋体" w:cs="宋体"/>
          <w:b/>
          <w:snapToGrid w:val="0"/>
          <w:szCs w:val="21"/>
        </w:rPr>
        <w:t>9.3  对评标委员会成员的纪律要求</w:t>
      </w:r>
      <w:bookmarkEnd w:id="131"/>
      <w:bookmarkEnd w:id="132"/>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4"/>
        <w:snapToGrid w:val="0"/>
        <w:spacing w:before="0" w:line="360" w:lineRule="auto"/>
        <w:rPr>
          <w:rFonts w:ascii="宋体" w:hAnsi="宋体" w:cs="宋体"/>
          <w:snapToGrid w:val="0"/>
          <w:sz w:val="21"/>
          <w:szCs w:val="21"/>
        </w:rPr>
      </w:pPr>
      <w:bookmarkStart w:id="134" w:name="_Toc200513176"/>
      <w:bookmarkStart w:id="135" w:name="_Toc387312459"/>
      <w:r>
        <w:rPr>
          <w:rFonts w:hint="eastAsia" w:ascii="宋体" w:hAnsi="宋体" w:cs="宋体"/>
          <w:snapToGrid w:val="0"/>
          <w:sz w:val="21"/>
          <w:szCs w:val="21"/>
        </w:rPr>
        <w:t>9.4  对与评标活动有关的工作人员的纪律要求</w:t>
      </w:r>
      <w:bookmarkEnd w:id="134"/>
      <w:bookmarkEnd w:id="135"/>
    </w:p>
    <w:p>
      <w:pPr>
        <w:autoSpaceDE w:val="0"/>
        <w:autoSpaceDN w:val="0"/>
        <w:adjustRightInd w:val="0"/>
        <w:snapToGrid w:val="0"/>
        <w:spacing w:line="360" w:lineRule="auto"/>
        <w:ind w:firstLine="420"/>
        <w:rPr>
          <w:rFonts w:ascii="宋体" w:hAnsi="宋体" w:cs="宋体"/>
          <w:snapToGrid w:val="0"/>
          <w:kern w:val="0"/>
          <w:szCs w:val="21"/>
        </w:rPr>
      </w:pPr>
      <w:r>
        <w:rPr>
          <w:rFonts w:hint="eastAsia" w:ascii="宋体" w:hAnsi="宋体" w:cs="宋体"/>
          <w:snapToGrid w:val="0"/>
          <w:kern w:val="0"/>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4"/>
        <w:snapToGrid w:val="0"/>
        <w:spacing w:before="0" w:line="360" w:lineRule="auto"/>
        <w:rPr>
          <w:rFonts w:ascii="宋体" w:hAnsi="宋体" w:cs="宋体"/>
          <w:snapToGrid w:val="0"/>
          <w:sz w:val="21"/>
          <w:szCs w:val="21"/>
        </w:rPr>
      </w:pPr>
      <w:bookmarkStart w:id="136" w:name="_Toc387312460"/>
      <w:bookmarkStart w:id="137" w:name="_Toc200513177"/>
      <w:r>
        <w:rPr>
          <w:rFonts w:hint="eastAsia" w:ascii="宋体" w:hAnsi="宋体" w:cs="宋体"/>
          <w:snapToGrid w:val="0"/>
          <w:sz w:val="21"/>
          <w:szCs w:val="21"/>
        </w:rPr>
        <w:t>9.5  投诉</w:t>
      </w:r>
      <w:bookmarkEnd w:id="136"/>
      <w:bookmarkEnd w:id="137"/>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kern w:val="0"/>
          <w:szCs w:val="21"/>
        </w:rPr>
        <w:t>投标人和其他利害关系人认为本次招标活动违反法律、法规和规章规定的，有权向有关行政监督部门投诉。</w:t>
      </w:r>
    </w:p>
    <w:p>
      <w:pPr>
        <w:spacing w:line="520" w:lineRule="exact"/>
        <w:jc w:val="left"/>
        <w:rPr>
          <w:rFonts w:ascii="宋体" w:hAnsi="宋体" w:cs="宋体"/>
          <w:b/>
          <w:snapToGrid w:val="0"/>
          <w:szCs w:val="21"/>
        </w:rPr>
      </w:pPr>
      <w:bookmarkStart w:id="138" w:name="_Toc200513178"/>
      <w:r>
        <w:rPr>
          <w:rFonts w:hint="eastAsia" w:ascii="宋体" w:hAnsi="宋体" w:cs="宋体"/>
          <w:b/>
          <w:snapToGrid w:val="0"/>
          <w:szCs w:val="21"/>
        </w:rPr>
        <w:t>10.  需要补充的其他内容</w:t>
      </w:r>
      <w:bookmarkEnd w:id="138"/>
    </w:p>
    <w:p>
      <w:pPr>
        <w:autoSpaceDE w:val="0"/>
        <w:autoSpaceDN w:val="0"/>
        <w:adjustRightInd w:val="0"/>
        <w:snapToGrid w:val="0"/>
        <w:spacing w:line="360" w:lineRule="auto"/>
        <w:ind w:firstLine="420"/>
        <w:jc w:val="left"/>
        <w:rPr>
          <w:rFonts w:ascii="宋体" w:hAnsi="宋体" w:cs="宋体"/>
          <w:snapToGrid w:val="0"/>
          <w:kern w:val="0"/>
          <w:szCs w:val="21"/>
        </w:rPr>
      </w:pPr>
      <w:r>
        <w:rPr>
          <w:rFonts w:hint="eastAsia" w:ascii="宋体" w:hAnsi="宋体" w:cs="宋体"/>
          <w:snapToGrid w:val="0"/>
          <w:szCs w:val="21"/>
        </w:rPr>
        <w:t>需要补充的其他内容：见投标人须知前附表。</w:t>
      </w:r>
    </w:p>
    <w:p>
      <w:pPr>
        <w:autoSpaceDE w:val="0"/>
        <w:autoSpaceDN w:val="0"/>
        <w:adjustRightInd w:val="0"/>
        <w:snapToGrid w:val="0"/>
        <w:spacing w:line="360" w:lineRule="auto"/>
        <w:jc w:val="left"/>
        <w:rPr>
          <w:rFonts w:ascii="宋体" w:hAnsi="宋体" w:cs="宋体"/>
          <w:kern w:val="0"/>
          <w:sz w:val="24"/>
        </w:rPr>
      </w:pPr>
    </w:p>
    <w:p>
      <w:pPr>
        <w:spacing w:line="480" w:lineRule="auto"/>
        <w:rPr>
          <w:rFonts w:ascii="宋体" w:hAnsi="宋体" w:cs="宋体"/>
          <w:b/>
          <w:sz w:val="32"/>
          <w:szCs w:val="32"/>
        </w:rPr>
      </w:pPr>
    </w:p>
    <w:p>
      <w:pPr>
        <w:spacing w:line="480" w:lineRule="auto"/>
        <w:rPr>
          <w:rFonts w:ascii="宋体" w:hAnsi="宋体" w:cs="宋体"/>
          <w:b/>
          <w:sz w:val="32"/>
          <w:szCs w:val="32"/>
        </w:rPr>
        <w:sectPr>
          <w:headerReference r:id="rId9" w:type="default"/>
          <w:footerReference r:id="rId10" w:type="default"/>
          <w:pgSz w:w="11906" w:h="16838"/>
          <w:pgMar w:top="1418" w:right="1361" w:bottom="1418" w:left="1418" w:header="851" w:footer="992" w:gutter="0"/>
          <w:cols w:space="720" w:num="1"/>
          <w:docGrid w:linePitch="312" w:charSpace="0"/>
        </w:sectPr>
      </w:pPr>
    </w:p>
    <w:p>
      <w:pPr>
        <w:spacing w:line="520" w:lineRule="exact"/>
        <w:jc w:val="center"/>
        <w:rPr>
          <w:rFonts w:ascii="宋体" w:hAnsi="宋体" w:cs="宋体"/>
          <w:b/>
          <w:sz w:val="32"/>
          <w:szCs w:val="32"/>
        </w:rPr>
      </w:pPr>
      <w:bookmarkStart w:id="139" w:name="招标文件03章02评标办法综合评估法"/>
      <w:bookmarkEnd w:id="139"/>
      <w:bookmarkStart w:id="140" w:name="招标文件03章02评标办法综合评估法00"/>
      <w:bookmarkEnd w:id="140"/>
      <w:bookmarkStart w:id="141" w:name="_Toc277082605"/>
      <w:bookmarkStart w:id="142" w:name="_Toc287620738"/>
      <w:bookmarkStart w:id="143" w:name="_Toc287607799"/>
      <w:bookmarkStart w:id="144" w:name="_Toc300662169"/>
      <w:bookmarkStart w:id="145" w:name="_Toc287620749"/>
      <w:bookmarkStart w:id="146" w:name="_Toc287607810"/>
      <w:r>
        <w:rPr>
          <w:rFonts w:hint="eastAsia" w:ascii="宋体" w:hAnsi="宋体" w:cs="宋体"/>
          <w:b/>
          <w:sz w:val="32"/>
          <w:szCs w:val="32"/>
        </w:rPr>
        <w:t>第三章评标办法</w:t>
      </w:r>
      <w:bookmarkEnd w:id="141"/>
      <w:bookmarkEnd w:id="142"/>
      <w:bookmarkEnd w:id="143"/>
      <w:bookmarkEnd w:id="144"/>
      <w:bookmarkStart w:id="147" w:name="_Toc287607800"/>
      <w:bookmarkStart w:id="148" w:name="_Toc287620739"/>
      <w:bookmarkStart w:id="149" w:name="_Toc277082606"/>
      <w:bookmarkStart w:id="150" w:name="_Toc224103371"/>
    </w:p>
    <w:p>
      <w:pPr>
        <w:spacing w:line="520" w:lineRule="exact"/>
        <w:jc w:val="center"/>
        <w:rPr>
          <w:rFonts w:ascii="宋体" w:hAnsi="宋体" w:cs="宋体"/>
          <w:b/>
          <w:sz w:val="32"/>
          <w:szCs w:val="32"/>
        </w:rPr>
      </w:pPr>
      <w:r>
        <w:rPr>
          <w:rFonts w:hint="eastAsia" w:ascii="宋体" w:hAnsi="宋体" w:cs="宋体"/>
          <w:b/>
          <w:sz w:val="32"/>
          <w:szCs w:val="32"/>
        </w:rPr>
        <w:t>评标办法前附表</w:t>
      </w:r>
      <w:bookmarkEnd w:id="147"/>
      <w:bookmarkEnd w:id="148"/>
      <w:bookmarkEnd w:id="149"/>
      <w:bookmarkEnd w:id="150"/>
    </w:p>
    <w:tbl>
      <w:tblPr>
        <w:tblStyle w:val="60"/>
        <w:tblW w:w="9167"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511"/>
        <w:gridCol w:w="549"/>
        <w:gridCol w:w="1374"/>
        <w:gridCol w:w="4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 w:hRule="atLeast"/>
          <w:tblHeader/>
        </w:trPr>
        <w:tc>
          <w:tcPr>
            <w:tcW w:w="2300" w:type="dxa"/>
            <w:gridSpan w:val="2"/>
            <w:vAlign w:val="center"/>
          </w:tcPr>
          <w:p>
            <w:pPr>
              <w:spacing w:line="427" w:lineRule="exact"/>
              <w:jc w:val="center"/>
              <w:rPr>
                <w:rFonts w:ascii="宋体" w:hAnsi="宋体" w:cs="宋体"/>
                <w:b/>
                <w:kern w:val="0"/>
              </w:rPr>
            </w:pPr>
            <w:r>
              <w:rPr>
                <w:rFonts w:hint="eastAsia" w:ascii="宋体" w:hAnsi="宋体" w:cs="宋体"/>
                <w:b/>
                <w:kern w:val="0"/>
              </w:rPr>
              <w:t>条款号</w:t>
            </w:r>
          </w:p>
        </w:tc>
        <w:tc>
          <w:tcPr>
            <w:tcW w:w="1923" w:type="dxa"/>
            <w:gridSpan w:val="2"/>
            <w:vAlign w:val="center"/>
          </w:tcPr>
          <w:p>
            <w:pPr>
              <w:spacing w:line="427" w:lineRule="exact"/>
              <w:jc w:val="center"/>
              <w:rPr>
                <w:rFonts w:ascii="宋体" w:hAnsi="宋体" w:cs="宋体"/>
                <w:b/>
                <w:kern w:val="0"/>
              </w:rPr>
            </w:pPr>
            <w:r>
              <w:rPr>
                <w:rFonts w:hint="eastAsia" w:ascii="宋体" w:hAnsi="宋体" w:cs="宋体"/>
                <w:b/>
                <w:kern w:val="0"/>
              </w:rPr>
              <w:t>评审因素</w:t>
            </w:r>
          </w:p>
        </w:tc>
        <w:tc>
          <w:tcPr>
            <w:tcW w:w="4944" w:type="dxa"/>
            <w:vAlign w:val="center"/>
          </w:tcPr>
          <w:p>
            <w:pPr>
              <w:spacing w:line="427" w:lineRule="exact"/>
              <w:jc w:val="center"/>
              <w:rPr>
                <w:rFonts w:ascii="宋体" w:hAnsi="宋体" w:cs="宋体"/>
                <w:b/>
                <w:kern w:val="0"/>
              </w:rPr>
            </w:pPr>
            <w:r>
              <w:rPr>
                <w:rFonts w:hint="eastAsia" w:ascii="宋体" w:hAnsi="宋体" w:cs="宋体"/>
                <w:b/>
                <w:kern w:val="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trPr>
        <w:tc>
          <w:tcPr>
            <w:tcW w:w="789" w:type="dxa"/>
            <w:vMerge w:val="restart"/>
            <w:vAlign w:val="center"/>
          </w:tcPr>
          <w:p>
            <w:pPr>
              <w:spacing w:line="220" w:lineRule="exact"/>
              <w:rPr>
                <w:rFonts w:ascii="宋体" w:hAnsi="宋体" w:cs="宋体"/>
                <w:kern w:val="0"/>
              </w:rPr>
            </w:pPr>
            <w:r>
              <w:rPr>
                <w:rFonts w:hint="eastAsia" w:ascii="宋体" w:hAnsi="宋体" w:cs="宋体"/>
                <w:kern w:val="0"/>
              </w:rPr>
              <w:t>2.1.1</w:t>
            </w:r>
          </w:p>
        </w:tc>
        <w:tc>
          <w:tcPr>
            <w:tcW w:w="1511" w:type="dxa"/>
            <w:vMerge w:val="restart"/>
            <w:textDirection w:val="tbRlV"/>
            <w:vAlign w:val="center"/>
          </w:tcPr>
          <w:p>
            <w:pPr>
              <w:spacing w:line="446" w:lineRule="exact"/>
              <w:ind w:left="113" w:leftChars="54" w:right="113" w:firstLine="420" w:firstLineChars="200"/>
              <w:rPr>
                <w:rFonts w:ascii="宋体" w:hAnsi="宋体" w:cs="宋体"/>
                <w:kern w:val="0"/>
              </w:rPr>
            </w:pPr>
            <w:r>
              <w:rPr>
                <w:rFonts w:hint="eastAsia" w:ascii="宋体" w:hAnsi="宋体" w:cs="宋体"/>
                <w:kern w:val="0"/>
              </w:rPr>
              <w:t xml:space="preserve">                    形式评审标准</w:t>
            </w: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投标人名称</w:t>
            </w:r>
          </w:p>
        </w:tc>
        <w:tc>
          <w:tcPr>
            <w:tcW w:w="4944" w:type="dxa"/>
            <w:vAlign w:val="center"/>
          </w:tcPr>
          <w:p>
            <w:pPr>
              <w:snapToGrid w:val="0"/>
              <w:spacing w:line="360" w:lineRule="auto"/>
              <w:rPr>
                <w:rFonts w:ascii="宋体" w:hAnsi="宋体" w:cs="宋体"/>
                <w:kern w:val="0"/>
              </w:rPr>
            </w:pPr>
            <w:r>
              <w:rPr>
                <w:rFonts w:hint="eastAsia" w:ascii="宋体" w:hAnsi="宋体" w:cs="宋体"/>
                <w:szCs w:val="21"/>
              </w:rPr>
              <w:t>基本账户开户许可证与</w:t>
            </w:r>
            <w:r>
              <w:rPr>
                <w:rFonts w:hint="eastAsia" w:ascii="宋体" w:hAnsi="宋体" w:cs="宋体"/>
                <w:kern w:val="0"/>
                <w:szCs w:val="21"/>
              </w:rPr>
              <w:t>营业执</w:t>
            </w:r>
            <w:r>
              <w:rPr>
                <w:rFonts w:hint="eastAsia" w:ascii="宋体" w:hAnsi="宋体" w:cs="宋体"/>
                <w:kern w:val="0"/>
              </w:rPr>
              <w:t>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投标函签字盖章</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有法定代表人或其委托代理人签字、加盖单位公章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投标文件格式</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符合第七章“投标文件格式”的要求，字迹清晰可辨。</w:t>
            </w:r>
          </w:p>
          <w:p>
            <w:pPr>
              <w:snapToGrid w:val="0"/>
              <w:spacing w:line="360" w:lineRule="auto"/>
              <w:rPr>
                <w:rFonts w:ascii="宋体" w:hAnsi="宋体" w:cs="宋体"/>
                <w:kern w:val="0"/>
              </w:rPr>
            </w:pPr>
            <w:r>
              <w:rPr>
                <w:rFonts w:hint="eastAsia" w:ascii="宋体" w:hAnsi="宋体" w:cs="宋体"/>
                <w:kern w:val="0"/>
              </w:rPr>
              <w:t>1.投标函附录的所有数据均符合招标文件的规定；</w:t>
            </w:r>
          </w:p>
          <w:p>
            <w:pPr>
              <w:snapToGrid w:val="0"/>
              <w:spacing w:line="360" w:lineRule="auto"/>
              <w:rPr>
                <w:rFonts w:ascii="宋体" w:hAnsi="宋体" w:cs="宋体"/>
                <w:kern w:val="0"/>
              </w:rPr>
            </w:pPr>
            <w:r>
              <w:rPr>
                <w:rFonts w:hint="eastAsia" w:ascii="宋体" w:hAnsi="宋体" w:cs="宋体"/>
                <w:kern w:val="0"/>
              </w:rPr>
              <w:t>2.投标文件附表齐全完整，内容均按规定填写；</w:t>
            </w:r>
          </w:p>
          <w:p>
            <w:pPr>
              <w:snapToGrid w:val="0"/>
              <w:spacing w:line="360" w:lineRule="auto"/>
              <w:rPr>
                <w:rFonts w:ascii="宋体" w:hAnsi="宋体" w:cs="宋体"/>
                <w:kern w:val="0"/>
              </w:rPr>
            </w:pPr>
            <w:r>
              <w:rPr>
                <w:rFonts w:hint="eastAsia" w:ascii="宋体" w:hAnsi="宋体" w:cs="宋体"/>
                <w:kern w:val="0"/>
              </w:rPr>
              <w:t>3.按规定提供了拟投入的主要人员的证件复印件，证件清晰可辨、有效；</w:t>
            </w:r>
          </w:p>
          <w:p>
            <w:pPr>
              <w:snapToGrid w:val="0"/>
              <w:spacing w:line="360" w:lineRule="auto"/>
              <w:rPr>
                <w:rFonts w:ascii="宋体" w:hAnsi="宋体" w:cs="宋体"/>
                <w:kern w:val="0"/>
              </w:rPr>
            </w:pPr>
            <w:r>
              <w:rPr>
                <w:rFonts w:hint="eastAsia" w:ascii="宋体" w:hAnsi="宋体" w:cs="宋体"/>
                <w:kern w:val="0"/>
              </w:rPr>
              <w:t>4.投标文件的编制符合第二章3.7款的规定。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报价唯一</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只能有一个有效报价，在招标文件没有规定的情况下，不得提交选择性报价。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5"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投标文件的签署</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投标文件上法定代表人或其授权代理人的签字齐全，符合招标文件规定。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1923" w:type="dxa"/>
            <w:gridSpan w:val="2"/>
            <w:vAlign w:val="center"/>
          </w:tcPr>
          <w:p>
            <w:pPr>
              <w:spacing w:line="441" w:lineRule="exact"/>
              <w:jc w:val="center"/>
              <w:rPr>
                <w:rFonts w:ascii="宋体" w:hAnsi="宋体" w:cs="宋体"/>
                <w:kern w:val="0"/>
              </w:rPr>
            </w:pPr>
            <w:r>
              <w:rPr>
                <w:rFonts w:hint="eastAsia" w:ascii="宋体" w:hAnsi="宋体" w:cs="宋体"/>
                <w:kern w:val="0"/>
              </w:rPr>
              <w:t>委托代理人</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投标人法定代表人的委托代理人有法定代表人签署的授权委托书，且其授权委托书符合招标文件规定的格式。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restart"/>
            <w:vAlign w:val="center"/>
          </w:tcPr>
          <w:p>
            <w:pPr>
              <w:spacing w:line="220" w:lineRule="exact"/>
              <w:jc w:val="center"/>
              <w:rPr>
                <w:rFonts w:ascii="宋体" w:hAnsi="宋体" w:cs="宋体"/>
                <w:kern w:val="0"/>
              </w:rPr>
            </w:pPr>
            <w:r>
              <w:rPr>
                <w:rFonts w:hint="eastAsia" w:ascii="宋体" w:hAnsi="宋体" w:cs="宋体"/>
                <w:kern w:val="0"/>
              </w:rPr>
              <w:t>2.1.2</w:t>
            </w:r>
          </w:p>
        </w:tc>
        <w:tc>
          <w:tcPr>
            <w:tcW w:w="1511" w:type="dxa"/>
            <w:vMerge w:val="restart"/>
            <w:textDirection w:val="tbRlV"/>
            <w:vAlign w:val="center"/>
          </w:tcPr>
          <w:p>
            <w:pPr>
              <w:spacing w:line="441" w:lineRule="exact"/>
              <w:ind w:left="113" w:right="113"/>
              <w:jc w:val="center"/>
              <w:rPr>
                <w:rFonts w:ascii="宋体" w:hAnsi="宋体" w:cs="宋体"/>
                <w:kern w:val="0"/>
              </w:rPr>
            </w:pPr>
            <w:r>
              <w:rPr>
                <w:rFonts w:hint="eastAsia" w:ascii="宋体" w:hAnsi="宋体" w:cs="宋体"/>
                <w:kern w:val="0"/>
              </w:rPr>
              <w:t>资格评审标准</w:t>
            </w:r>
          </w:p>
        </w:tc>
        <w:tc>
          <w:tcPr>
            <w:tcW w:w="549" w:type="dxa"/>
            <w:vMerge w:val="restart"/>
            <w:textDirection w:val="tbRlV"/>
            <w:vAlign w:val="center"/>
          </w:tcPr>
          <w:p>
            <w:pPr>
              <w:spacing w:line="436" w:lineRule="exact"/>
              <w:ind w:left="113" w:right="113"/>
              <w:jc w:val="center"/>
              <w:rPr>
                <w:rFonts w:ascii="宋体" w:hAnsi="宋体" w:cs="宋体"/>
                <w:kern w:val="0"/>
              </w:rPr>
            </w:pPr>
            <w:r>
              <w:rPr>
                <w:rFonts w:hint="eastAsia" w:ascii="宋体" w:hAnsi="宋体" w:cs="宋体"/>
                <w:kern w:val="0"/>
              </w:rPr>
              <w:t>必要合格条件</w:t>
            </w:r>
          </w:p>
        </w:tc>
        <w:tc>
          <w:tcPr>
            <w:tcW w:w="1374" w:type="dxa"/>
            <w:vAlign w:val="center"/>
          </w:tcPr>
          <w:p>
            <w:pPr>
              <w:snapToGrid w:val="0"/>
              <w:spacing w:line="446" w:lineRule="exact"/>
              <w:jc w:val="center"/>
              <w:rPr>
                <w:rFonts w:ascii="宋体" w:hAnsi="宋体" w:cs="宋体"/>
                <w:kern w:val="0"/>
              </w:rPr>
            </w:pPr>
            <w:r>
              <w:rPr>
                <w:rFonts w:hint="eastAsia" w:ascii="宋体" w:hAnsi="宋体" w:cs="宋体"/>
                <w:kern w:val="0"/>
              </w:rPr>
              <w:t>营业执照</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441" w:lineRule="exact"/>
              <w:jc w:val="left"/>
              <w:outlineLvl w:val="2"/>
              <w:rPr>
                <w:rFonts w:ascii="宋体" w:hAnsi="宋体" w:cs="宋体"/>
                <w:kern w:val="0"/>
              </w:rPr>
            </w:pPr>
          </w:p>
        </w:tc>
        <w:tc>
          <w:tcPr>
            <w:tcW w:w="1374" w:type="dxa"/>
            <w:vAlign w:val="center"/>
          </w:tcPr>
          <w:p>
            <w:pPr>
              <w:snapToGrid w:val="0"/>
              <w:spacing w:line="436" w:lineRule="exact"/>
              <w:jc w:val="center"/>
              <w:rPr>
                <w:rFonts w:ascii="宋体" w:hAnsi="宋体" w:cs="宋体"/>
                <w:kern w:val="0"/>
              </w:rPr>
            </w:pPr>
            <w:r>
              <w:rPr>
                <w:rFonts w:hint="eastAsia" w:ascii="宋体" w:hAnsi="宋体" w:cs="宋体"/>
                <w:kern w:val="0"/>
              </w:rPr>
              <w:t>安全生产</w:t>
            </w:r>
          </w:p>
          <w:p>
            <w:pPr>
              <w:snapToGrid w:val="0"/>
              <w:spacing w:line="436" w:lineRule="exact"/>
              <w:jc w:val="center"/>
              <w:rPr>
                <w:rFonts w:ascii="宋体" w:hAnsi="宋体" w:cs="宋体"/>
                <w:kern w:val="0"/>
              </w:rPr>
            </w:pPr>
            <w:r>
              <w:rPr>
                <w:rFonts w:hint="eastAsia" w:ascii="宋体" w:hAnsi="宋体" w:cs="宋体"/>
                <w:kern w:val="0"/>
              </w:rPr>
              <w:t>条件</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具备有效的安全生产许可证，企业主要负责人、拟担任该项目负责人和专职安全生产管理人员（即“三类人员”）具备相应的安全生产考核合格证书且符合第二章“投标人须知”第1.4.1项规定。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441" w:lineRule="exact"/>
              <w:jc w:val="left"/>
              <w:outlineLvl w:val="2"/>
              <w:rPr>
                <w:rFonts w:ascii="宋体" w:hAnsi="宋体" w:cs="宋体"/>
                <w:kern w:val="0"/>
              </w:rPr>
            </w:pPr>
          </w:p>
        </w:tc>
        <w:tc>
          <w:tcPr>
            <w:tcW w:w="1374" w:type="dxa"/>
            <w:vAlign w:val="center"/>
          </w:tcPr>
          <w:p>
            <w:pPr>
              <w:snapToGrid w:val="0"/>
              <w:spacing w:line="441" w:lineRule="exact"/>
              <w:jc w:val="center"/>
              <w:rPr>
                <w:rFonts w:ascii="宋体" w:hAnsi="宋体" w:cs="宋体"/>
                <w:kern w:val="0"/>
              </w:rPr>
            </w:pPr>
            <w:r>
              <w:rPr>
                <w:rFonts w:hint="eastAsia" w:ascii="宋体" w:hAnsi="宋体" w:cs="宋体"/>
                <w:kern w:val="0"/>
              </w:rPr>
              <w:t>资质等级</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7"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restart"/>
          </w:tcPr>
          <w:p>
            <w:pPr>
              <w:spacing w:line="221" w:lineRule="exact"/>
              <w:jc w:val="left"/>
              <w:rPr>
                <w:rFonts w:ascii="宋体" w:hAnsi="宋体" w:cs="宋体"/>
                <w:kern w:val="0"/>
              </w:rPr>
            </w:pPr>
            <w:r>
              <w:rPr>
                <w:rFonts w:hint="eastAsia" w:ascii="宋体" w:hAnsi="宋体" w:cs="宋体"/>
                <w:kern w:val="0"/>
              </w:rPr>
              <w:t>附加合格条件</w:t>
            </w:r>
          </w:p>
        </w:tc>
        <w:tc>
          <w:tcPr>
            <w:tcW w:w="1374" w:type="dxa"/>
            <w:vAlign w:val="center"/>
          </w:tcPr>
          <w:p>
            <w:pPr>
              <w:snapToGrid w:val="0"/>
              <w:spacing w:line="221" w:lineRule="exact"/>
              <w:jc w:val="center"/>
              <w:rPr>
                <w:rFonts w:ascii="宋体" w:hAnsi="宋体" w:cs="宋体"/>
                <w:kern w:val="0"/>
              </w:rPr>
            </w:pPr>
            <w:r>
              <w:rPr>
                <w:rFonts w:hint="eastAsia" w:ascii="宋体" w:hAnsi="宋体" w:cs="宋体"/>
                <w:kern w:val="0"/>
              </w:rPr>
              <w:t>项目经理</w:t>
            </w:r>
          </w:p>
          <w:p>
            <w:pPr>
              <w:snapToGrid w:val="0"/>
              <w:spacing w:line="221" w:lineRule="exact"/>
              <w:jc w:val="center"/>
              <w:rPr>
                <w:rFonts w:ascii="宋体" w:hAnsi="宋体" w:cs="宋体"/>
                <w:kern w:val="0"/>
              </w:rPr>
            </w:pPr>
            <w:r>
              <w:rPr>
                <w:rFonts w:hint="eastAsia" w:ascii="宋体" w:hAnsi="宋体" w:cs="宋体"/>
                <w:kern w:val="0"/>
              </w:rPr>
              <w:t>资格</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pacing w:before="260" w:after="260" w:line="413" w:lineRule="auto"/>
              <w:outlineLvl w:val="2"/>
              <w:rPr>
                <w:rFonts w:ascii="宋体" w:hAnsi="宋体" w:cs="宋体"/>
              </w:rPr>
            </w:pPr>
          </w:p>
        </w:tc>
        <w:tc>
          <w:tcPr>
            <w:tcW w:w="1511" w:type="dxa"/>
            <w:vMerge w:val="continue"/>
          </w:tcPr>
          <w:p>
            <w:pPr>
              <w:keepNext/>
              <w:keepLines/>
              <w:spacing w:before="260" w:after="260" w:line="413" w:lineRule="auto"/>
              <w:outlineLvl w:val="2"/>
              <w:rPr>
                <w:rFonts w:ascii="宋体" w:hAnsi="宋体" w:cs="宋体"/>
              </w:rPr>
            </w:pPr>
          </w:p>
        </w:tc>
        <w:tc>
          <w:tcPr>
            <w:tcW w:w="549" w:type="dxa"/>
            <w:vMerge w:val="continue"/>
          </w:tcPr>
          <w:p>
            <w:pPr>
              <w:keepNext/>
              <w:keepLines/>
              <w:spacing w:before="260" w:after="260" w:line="221" w:lineRule="exact"/>
              <w:ind w:firstLine="105"/>
              <w:jc w:val="left"/>
              <w:outlineLvl w:val="2"/>
              <w:rPr>
                <w:rFonts w:ascii="宋体" w:hAnsi="宋体" w:cs="宋体"/>
                <w:kern w:val="0"/>
              </w:rPr>
            </w:pPr>
          </w:p>
        </w:tc>
        <w:tc>
          <w:tcPr>
            <w:tcW w:w="1374" w:type="dxa"/>
            <w:vAlign w:val="center"/>
          </w:tcPr>
          <w:p>
            <w:pPr>
              <w:snapToGrid w:val="0"/>
              <w:spacing w:line="360" w:lineRule="auto"/>
              <w:jc w:val="center"/>
              <w:rPr>
                <w:rFonts w:ascii="宋体" w:hAnsi="宋体" w:cs="宋体"/>
                <w:kern w:val="0"/>
              </w:rPr>
            </w:pPr>
            <w:r>
              <w:rPr>
                <w:rFonts w:hint="eastAsia" w:ascii="宋体" w:hAnsi="宋体" w:cs="宋体"/>
                <w:kern w:val="0"/>
              </w:rPr>
              <w:t>其它要求</w:t>
            </w:r>
          </w:p>
        </w:tc>
        <w:tc>
          <w:tcPr>
            <w:tcW w:w="4944" w:type="dxa"/>
            <w:vAlign w:val="center"/>
          </w:tcPr>
          <w:p>
            <w:pPr>
              <w:snapToGrid w:val="0"/>
              <w:spacing w:before="120" w:beforeLines="50" w:line="360" w:lineRule="auto"/>
              <w:rPr>
                <w:rFonts w:ascii="宋体" w:hAnsi="宋体" w:cs="宋体"/>
                <w:b/>
                <w:bCs/>
                <w:kern w:val="0"/>
                <w:sz w:val="32"/>
                <w:u w:val="single"/>
              </w:rPr>
            </w:pPr>
            <w:r>
              <w:rPr>
                <w:rFonts w:hint="eastAsia" w:ascii="宋体" w:hAnsi="宋体" w:cs="宋体"/>
                <w:kern w:val="0"/>
              </w:rPr>
              <w:t>符合第二章“投标人须知”第1.4.1项规定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6" w:hRule="atLeast"/>
        </w:trPr>
        <w:tc>
          <w:tcPr>
            <w:tcW w:w="789" w:type="dxa"/>
            <w:vMerge w:val="restart"/>
            <w:vAlign w:val="center"/>
          </w:tcPr>
          <w:p>
            <w:pPr>
              <w:spacing w:line="446" w:lineRule="exact"/>
              <w:jc w:val="center"/>
              <w:rPr>
                <w:rFonts w:ascii="宋体" w:hAnsi="宋体" w:cs="宋体"/>
              </w:rPr>
            </w:pPr>
            <w:r>
              <w:rPr>
                <w:rFonts w:hint="eastAsia" w:ascii="宋体" w:hAnsi="宋体" w:cs="宋体"/>
                <w:kern w:val="0"/>
              </w:rPr>
              <w:t>2.1.3</w:t>
            </w:r>
          </w:p>
        </w:tc>
        <w:tc>
          <w:tcPr>
            <w:tcW w:w="1511" w:type="dxa"/>
            <w:vMerge w:val="restart"/>
            <w:textDirection w:val="tbRlV"/>
            <w:vAlign w:val="bottom"/>
          </w:tcPr>
          <w:p>
            <w:pPr>
              <w:snapToGrid w:val="0"/>
              <w:spacing w:line="360" w:lineRule="auto"/>
              <w:ind w:left="113" w:right="113"/>
              <w:jc w:val="right"/>
              <w:rPr>
                <w:rFonts w:ascii="宋体" w:hAnsi="宋体" w:cs="宋体"/>
              </w:rPr>
            </w:pPr>
            <w:r>
              <w:rPr>
                <w:rFonts w:hint="eastAsia" w:ascii="宋体" w:hAnsi="宋体" w:cs="宋体"/>
                <w:kern w:val="0"/>
              </w:rPr>
              <w:t>响应性评审标准</w:t>
            </w:r>
          </w:p>
        </w:tc>
        <w:tc>
          <w:tcPr>
            <w:tcW w:w="1923" w:type="dxa"/>
            <w:gridSpan w:val="2"/>
            <w:vAlign w:val="center"/>
          </w:tcPr>
          <w:p>
            <w:pPr>
              <w:snapToGrid w:val="0"/>
              <w:spacing w:line="446" w:lineRule="exact"/>
              <w:jc w:val="center"/>
              <w:rPr>
                <w:rFonts w:ascii="宋体" w:hAnsi="宋体" w:cs="宋体"/>
                <w:kern w:val="0"/>
              </w:rPr>
            </w:pPr>
            <w:r>
              <w:rPr>
                <w:rFonts w:hint="eastAsia" w:ascii="宋体" w:hAnsi="宋体" w:cs="宋体"/>
                <w:kern w:val="0"/>
              </w:rPr>
              <w:t>投标内容</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41" w:lineRule="exact"/>
              <w:jc w:val="center"/>
              <w:rPr>
                <w:rFonts w:ascii="宋体" w:hAnsi="宋体" w:cs="宋体"/>
                <w:kern w:val="0"/>
              </w:rPr>
            </w:pPr>
            <w:r>
              <w:rPr>
                <w:rFonts w:hint="eastAsia" w:ascii="宋体" w:hAnsi="宋体" w:cs="宋体"/>
                <w:kern w:val="0"/>
              </w:rPr>
              <w:t>工期</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51" w:lineRule="exact"/>
              <w:jc w:val="center"/>
              <w:rPr>
                <w:rFonts w:ascii="宋体" w:hAnsi="宋体" w:cs="宋体"/>
                <w:kern w:val="0"/>
              </w:rPr>
            </w:pPr>
            <w:r>
              <w:rPr>
                <w:rFonts w:hint="eastAsia" w:ascii="宋体" w:hAnsi="宋体" w:cs="宋体"/>
                <w:kern w:val="0"/>
              </w:rPr>
              <w:t>工程质量</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符合第二章“投标人须知”第1.3.3项规定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441" w:lineRule="exact"/>
              <w:jc w:val="center"/>
              <w:rPr>
                <w:rFonts w:ascii="宋体" w:hAnsi="宋体" w:cs="宋体"/>
                <w:kern w:val="0"/>
              </w:rPr>
            </w:pPr>
            <w:r>
              <w:rPr>
                <w:rFonts w:hint="eastAsia" w:ascii="宋体" w:hAnsi="宋体" w:cs="宋体"/>
                <w:kern w:val="0"/>
              </w:rPr>
              <w:t>投标有效期</w:t>
            </w:r>
          </w:p>
        </w:tc>
        <w:tc>
          <w:tcPr>
            <w:tcW w:w="4944" w:type="dxa"/>
            <w:vAlign w:val="center"/>
          </w:tcPr>
          <w:p>
            <w:pPr>
              <w:snapToGrid w:val="0"/>
              <w:spacing w:line="360" w:lineRule="auto"/>
              <w:rPr>
                <w:rFonts w:ascii="宋体" w:hAnsi="宋体" w:cs="宋体"/>
                <w:kern w:val="0"/>
              </w:rPr>
            </w:pPr>
            <w:r>
              <w:rPr>
                <w:rFonts w:hint="eastAsia" w:ascii="宋体" w:hAnsi="宋体" w:cs="宋体"/>
                <w:kern w:val="0"/>
              </w:rPr>
              <w:t>符合第二章“投标人须知”第3.3.1项规定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tcPr>
          <w:p>
            <w:pPr>
              <w:keepNext/>
              <w:keepLines/>
              <w:snapToGrid w:val="0"/>
              <w:spacing w:before="260" w:after="260" w:line="360" w:lineRule="auto"/>
              <w:jc w:val="center"/>
              <w:outlineLvl w:val="2"/>
              <w:rPr>
                <w:rFonts w:ascii="宋体" w:hAnsi="宋体" w:cs="宋体"/>
              </w:rPr>
            </w:pPr>
          </w:p>
        </w:tc>
        <w:tc>
          <w:tcPr>
            <w:tcW w:w="1511" w:type="dxa"/>
            <w:vMerge w:val="continue"/>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pacing w:line="446" w:lineRule="exact"/>
              <w:jc w:val="center"/>
              <w:rPr>
                <w:rFonts w:ascii="宋体" w:hAnsi="宋体" w:cs="宋体"/>
                <w:kern w:val="0"/>
              </w:rPr>
            </w:pPr>
            <w:r>
              <w:rPr>
                <w:rFonts w:hint="eastAsia" w:ascii="宋体" w:hAnsi="宋体" w:cs="宋体"/>
                <w:kern w:val="0"/>
              </w:rPr>
              <w:t>投标保证金</w:t>
            </w:r>
          </w:p>
        </w:tc>
        <w:tc>
          <w:tcPr>
            <w:tcW w:w="4944" w:type="dxa"/>
            <w:vAlign w:val="center"/>
          </w:tcPr>
          <w:p>
            <w:pPr>
              <w:snapToGrid w:val="0"/>
              <w:spacing w:before="120" w:beforeLines="50" w:line="276" w:lineRule="auto"/>
              <w:ind w:firstLine="420" w:firstLineChars="200"/>
              <w:rPr>
                <w:rFonts w:ascii="宋体" w:hAnsi="宋体" w:cs="宋体"/>
                <w:kern w:val="0"/>
              </w:rPr>
            </w:pPr>
            <w:r>
              <w:rPr>
                <w:rFonts w:hint="eastAsia" w:ascii="宋体" w:hAnsi="宋体" w:cs="宋体"/>
                <w:kern w:val="0"/>
              </w:rPr>
              <w:t>符合第二章“投标人须知前附表”第3.4.1项规定，并符合下列要求：</w:t>
            </w:r>
          </w:p>
          <w:p>
            <w:pPr>
              <w:numPr>
                <w:ilvl w:val="0"/>
                <w:numId w:val="3"/>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投标保证金为无条件担保；</w:t>
            </w:r>
          </w:p>
          <w:p>
            <w:pPr>
              <w:numPr>
                <w:ilvl w:val="0"/>
                <w:numId w:val="3"/>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投标保证金的受益人名称与招标人规定的受益人一致；</w:t>
            </w:r>
          </w:p>
          <w:p>
            <w:pPr>
              <w:numPr>
                <w:ilvl w:val="0"/>
                <w:numId w:val="3"/>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投标保证金的金额符合招标文件规定的金额；</w:t>
            </w:r>
          </w:p>
          <w:p>
            <w:pPr>
              <w:numPr>
                <w:ilvl w:val="0"/>
                <w:numId w:val="3"/>
              </w:numPr>
              <w:tabs>
                <w:tab w:val="left" w:pos="611"/>
                <w:tab w:val="left" w:pos="669"/>
              </w:tabs>
              <w:snapToGrid w:val="0"/>
              <w:spacing w:before="120" w:beforeLines="50" w:line="276" w:lineRule="auto"/>
              <w:ind w:left="0" w:firstLine="394" w:firstLineChars="188"/>
              <w:rPr>
                <w:rFonts w:ascii="宋体" w:hAnsi="宋体" w:cs="宋体"/>
                <w:kern w:val="0"/>
              </w:rPr>
            </w:pPr>
            <w:r>
              <w:rPr>
                <w:rFonts w:hint="eastAsia" w:ascii="宋体" w:hAnsi="宋体" w:cs="宋体"/>
                <w:kern w:val="0"/>
              </w:rPr>
              <w:t>投标保证金有效期为投标有效期加60天；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 w:hRule="atLeast"/>
        </w:trPr>
        <w:tc>
          <w:tcPr>
            <w:tcW w:w="789" w:type="dxa"/>
            <w:vMerge w:val="continue"/>
            <w:vAlign w:val="center"/>
          </w:tcPr>
          <w:p>
            <w:pPr>
              <w:keepNext/>
              <w:keepLines/>
              <w:snapToGrid w:val="0"/>
              <w:spacing w:before="260" w:after="260" w:line="360" w:lineRule="auto"/>
              <w:jc w:val="center"/>
              <w:outlineLvl w:val="2"/>
              <w:rPr>
                <w:rFonts w:ascii="宋体" w:hAnsi="宋体" w:cs="宋体"/>
              </w:rPr>
            </w:pPr>
          </w:p>
        </w:tc>
        <w:tc>
          <w:tcPr>
            <w:tcW w:w="1511" w:type="dxa"/>
            <w:vMerge w:val="continue"/>
            <w:textDirection w:val="tbRlV"/>
            <w:vAlign w:val="center"/>
          </w:tcPr>
          <w:p>
            <w:pPr>
              <w:keepNext/>
              <w:keepLines/>
              <w:snapToGrid w:val="0"/>
              <w:spacing w:before="260" w:after="260" w:line="360" w:lineRule="auto"/>
              <w:ind w:left="113" w:right="113"/>
              <w:jc w:val="center"/>
              <w:outlineLvl w:val="2"/>
              <w:rPr>
                <w:rFonts w:ascii="宋体" w:hAnsi="宋体" w:cs="宋体"/>
              </w:rPr>
            </w:pPr>
          </w:p>
        </w:tc>
        <w:tc>
          <w:tcPr>
            <w:tcW w:w="1923" w:type="dxa"/>
            <w:gridSpan w:val="2"/>
            <w:vAlign w:val="center"/>
          </w:tcPr>
          <w:p>
            <w:pPr>
              <w:snapToGrid w:val="0"/>
              <w:spacing w:line="360" w:lineRule="auto"/>
              <w:jc w:val="center"/>
              <w:rPr>
                <w:rFonts w:ascii="宋体" w:hAnsi="宋体" w:cs="宋体"/>
                <w:kern w:val="0"/>
              </w:rPr>
            </w:pPr>
            <w:r>
              <w:rPr>
                <w:rFonts w:hint="eastAsia" w:ascii="宋体" w:hAnsi="宋体" w:cs="宋体"/>
                <w:kern w:val="0"/>
              </w:rPr>
              <w:t>权利义务</w:t>
            </w:r>
          </w:p>
        </w:tc>
        <w:tc>
          <w:tcPr>
            <w:tcW w:w="4944" w:type="dxa"/>
            <w:vAlign w:val="center"/>
          </w:tcPr>
          <w:p>
            <w:pPr>
              <w:snapToGrid w:val="0"/>
              <w:spacing w:line="360" w:lineRule="auto"/>
              <w:ind w:firstLine="420" w:firstLineChars="200"/>
              <w:rPr>
                <w:rFonts w:ascii="宋体" w:hAnsi="宋体" w:cs="宋体"/>
                <w:kern w:val="0"/>
              </w:rPr>
            </w:pPr>
            <w:r>
              <w:rPr>
                <w:rFonts w:hint="eastAsia" w:ascii="宋体" w:hAnsi="宋体" w:cs="宋体"/>
                <w:kern w:val="0"/>
              </w:rPr>
              <w:t>1.符合第四章“合同格式”规定，投标文件不应附有招标人不能接受的条件。</w:t>
            </w:r>
          </w:p>
          <w:p>
            <w:pPr>
              <w:snapToGrid w:val="0"/>
              <w:spacing w:line="360" w:lineRule="auto"/>
              <w:ind w:firstLine="420" w:firstLineChars="200"/>
              <w:rPr>
                <w:rFonts w:ascii="宋体" w:hAnsi="宋体" w:cs="宋体"/>
                <w:kern w:val="0"/>
              </w:rPr>
            </w:pPr>
            <w:r>
              <w:rPr>
                <w:rFonts w:hint="eastAsia" w:ascii="宋体" w:hAnsi="宋体" w:cs="宋体"/>
                <w:kern w:val="0"/>
              </w:rPr>
              <w:t>2.投标文件应对招标文件的实质性要求进行响应，不得偏离招标文件的实质要求。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2" w:hRule="atLeast"/>
        </w:trPr>
        <w:tc>
          <w:tcPr>
            <w:tcW w:w="789" w:type="dxa"/>
            <w:vMerge w:val="restart"/>
            <w:vAlign w:val="center"/>
          </w:tcPr>
          <w:p>
            <w:pPr>
              <w:snapToGrid w:val="0"/>
              <w:spacing w:before="120" w:beforeLines="50" w:line="360" w:lineRule="auto"/>
              <w:jc w:val="center"/>
              <w:rPr>
                <w:rFonts w:ascii="宋体" w:hAnsi="宋体" w:cs="宋体"/>
                <w:kern w:val="0"/>
              </w:rPr>
            </w:pPr>
            <w:r>
              <w:rPr>
                <w:rFonts w:hint="eastAsia" w:ascii="宋体" w:hAnsi="宋体" w:cs="宋体"/>
                <w:kern w:val="0"/>
              </w:rPr>
              <w:t>2.2</w:t>
            </w:r>
          </w:p>
        </w:tc>
        <w:tc>
          <w:tcPr>
            <w:tcW w:w="1511" w:type="dxa"/>
            <w:vMerge w:val="restart"/>
            <w:vAlign w:val="center"/>
          </w:tcPr>
          <w:p>
            <w:pPr>
              <w:snapToGrid w:val="0"/>
              <w:spacing w:before="120" w:beforeLines="50" w:line="360" w:lineRule="auto"/>
              <w:ind w:right="113"/>
              <w:jc w:val="center"/>
              <w:rPr>
                <w:rFonts w:ascii="宋体" w:hAnsi="宋体" w:cs="宋体"/>
                <w:kern w:val="0"/>
              </w:rPr>
            </w:pPr>
            <w:r>
              <w:rPr>
                <w:rFonts w:hint="eastAsia" w:ascii="宋体" w:hAnsi="宋体" w:cs="宋体"/>
                <w:kern w:val="0"/>
              </w:rPr>
              <w:t>详细评审</w:t>
            </w:r>
          </w:p>
        </w:tc>
        <w:tc>
          <w:tcPr>
            <w:tcW w:w="1923" w:type="dxa"/>
            <w:gridSpan w:val="2"/>
            <w:vAlign w:val="center"/>
          </w:tcPr>
          <w:p>
            <w:pPr>
              <w:snapToGrid w:val="0"/>
              <w:spacing w:before="120" w:beforeLines="50" w:line="360" w:lineRule="auto"/>
              <w:rPr>
                <w:rFonts w:ascii="宋体" w:hAnsi="宋体" w:cs="宋体"/>
                <w:kern w:val="0"/>
              </w:rPr>
            </w:pPr>
            <w:r>
              <w:rPr>
                <w:rFonts w:hint="eastAsia" w:ascii="宋体" w:hAnsi="宋体" w:cs="宋体"/>
                <w:kern w:val="0"/>
              </w:rPr>
              <w:t>技术部分</w:t>
            </w:r>
          </w:p>
        </w:tc>
        <w:tc>
          <w:tcPr>
            <w:tcW w:w="4944" w:type="dxa"/>
            <w:vAlign w:val="center"/>
          </w:tcPr>
          <w:p>
            <w:pPr>
              <w:snapToGrid w:val="0"/>
              <w:spacing w:before="120" w:beforeLines="50" w:line="360" w:lineRule="auto"/>
              <w:rPr>
                <w:rFonts w:ascii="宋体" w:hAnsi="宋体" w:cs="宋体"/>
                <w:kern w:val="0"/>
              </w:rPr>
            </w:pPr>
            <w:r>
              <w:rPr>
                <w:rFonts w:hint="eastAsia" w:ascii="宋体" w:hAnsi="宋体" w:cs="宋体"/>
                <w:kern w:val="0"/>
              </w:rPr>
              <w:t>1.关键工艺、工序技术措施。</w:t>
            </w:r>
          </w:p>
          <w:p>
            <w:pPr>
              <w:snapToGrid w:val="0"/>
              <w:spacing w:before="120" w:beforeLines="50" w:line="360" w:lineRule="auto"/>
              <w:rPr>
                <w:rFonts w:ascii="宋体" w:hAnsi="宋体" w:cs="宋体"/>
                <w:kern w:val="0"/>
                <w:szCs w:val="22"/>
              </w:rPr>
            </w:pPr>
            <w:r>
              <w:rPr>
                <w:rFonts w:hint="eastAsia" w:ascii="宋体" w:hAnsi="宋体" w:cs="宋体"/>
                <w:kern w:val="0"/>
              </w:rPr>
              <w:t>2.投标人与其它标段配合及服务承诺。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2" w:hRule="atLeast"/>
        </w:trPr>
        <w:tc>
          <w:tcPr>
            <w:tcW w:w="789" w:type="dxa"/>
            <w:vMerge w:val="continue"/>
            <w:vAlign w:val="center"/>
          </w:tcPr>
          <w:p>
            <w:pPr>
              <w:snapToGrid w:val="0"/>
              <w:spacing w:before="120" w:beforeLines="50" w:line="360" w:lineRule="auto"/>
              <w:jc w:val="center"/>
              <w:rPr>
                <w:rFonts w:ascii="宋体" w:hAnsi="宋体" w:cs="宋体"/>
                <w:kern w:val="0"/>
              </w:rPr>
            </w:pPr>
          </w:p>
        </w:tc>
        <w:tc>
          <w:tcPr>
            <w:tcW w:w="1511" w:type="dxa"/>
            <w:vMerge w:val="continue"/>
            <w:vAlign w:val="center"/>
          </w:tcPr>
          <w:p>
            <w:pPr>
              <w:snapToGrid w:val="0"/>
              <w:spacing w:before="120" w:beforeLines="50" w:line="360" w:lineRule="auto"/>
              <w:ind w:right="113"/>
              <w:jc w:val="center"/>
              <w:rPr>
                <w:rFonts w:ascii="宋体" w:hAnsi="宋体" w:cs="宋体"/>
                <w:kern w:val="0"/>
              </w:rPr>
            </w:pPr>
          </w:p>
        </w:tc>
        <w:tc>
          <w:tcPr>
            <w:tcW w:w="1923" w:type="dxa"/>
            <w:gridSpan w:val="2"/>
            <w:vAlign w:val="center"/>
          </w:tcPr>
          <w:p>
            <w:pPr>
              <w:snapToGrid w:val="0"/>
              <w:spacing w:before="120" w:beforeLines="50" w:line="360" w:lineRule="auto"/>
              <w:rPr>
                <w:rFonts w:ascii="宋体" w:hAnsi="宋体" w:cs="宋体"/>
                <w:kern w:val="0"/>
              </w:rPr>
            </w:pPr>
            <w:r>
              <w:rPr>
                <w:rFonts w:hint="eastAsia" w:ascii="宋体" w:hAnsi="宋体" w:cs="宋体"/>
                <w:kern w:val="0"/>
              </w:rPr>
              <w:t>投标报价</w:t>
            </w:r>
          </w:p>
        </w:tc>
        <w:tc>
          <w:tcPr>
            <w:tcW w:w="4944" w:type="dxa"/>
            <w:vAlign w:val="center"/>
          </w:tcPr>
          <w:p>
            <w:pPr>
              <w:snapToGrid w:val="0"/>
              <w:spacing w:before="120" w:beforeLines="50" w:line="360" w:lineRule="auto"/>
              <w:rPr>
                <w:rFonts w:ascii="宋体" w:hAnsi="宋体" w:cs="宋体"/>
                <w:kern w:val="0"/>
                <w:szCs w:val="22"/>
              </w:rPr>
            </w:pPr>
            <w:r>
              <w:rPr>
                <w:rFonts w:hint="eastAsia" w:ascii="宋体" w:hAnsi="宋体" w:cs="宋体"/>
                <w:kern w:val="0"/>
              </w:rPr>
              <w:t>符合以上评审标准后，按综合评标法合理低价中标确定中标候选人。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41" w:hRule="atLeast"/>
        </w:trPr>
        <w:tc>
          <w:tcPr>
            <w:tcW w:w="789" w:type="dxa"/>
            <w:vAlign w:val="center"/>
          </w:tcPr>
          <w:p>
            <w:pPr>
              <w:snapToGrid w:val="0"/>
              <w:spacing w:before="120" w:beforeLines="50" w:line="360" w:lineRule="auto"/>
              <w:rPr>
                <w:rFonts w:ascii="宋体" w:hAnsi="宋体" w:cs="宋体"/>
                <w:kern w:val="0"/>
                <w:sz w:val="24"/>
              </w:rPr>
            </w:pPr>
            <w:r>
              <w:rPr>
                <w:rFonts w:hint="eastAsia" w:ascii="宋体" w:hAnsi="宋体" w:cs="宋体"/>
                <w:kern w:val="0"/>
                <w:szCs w:val="21"/>
              </w:rPr>
              <w:t>3.4</w:t>
            </w:r>
          </w:p>
        </w:tc>
        <w:tc>
          <w:tcPr>
            <w:tcW w:w="1511" w:type="dxa"/>
            <w:vAlign w:val="center"/>
          </w:tcPr>
          <w:p>
            <w:pPr>
              <w:snapToGrid w:val="0"/>
              <w:spacing w:before="120" w:beforeLines="50" w:line="360" w:lineRule="auto"/>
              <w:ind w:right="113"/>
              <w:jc w:val="center"/>
              <w:rPr>
                <w:rFonts w:ascii="宋体" w:hAnsi="宋体" w:cs="宋体"/>
                <w:kern w:val="0"/>
              </w:rPr>
            </w:pPr>
            <w:r>
              <w:rPr>
                <w:rFonts w:hint="eastAsia" w:ascii="宋体" w:hAnsi="宋体" w:cs="宋体"/>
              </w:rPr>
              <w:t>评标结果</w:t>
            </w:r>
          </w:p>
        </w:tc>
        <w:tc>
          <w:tcPr>
            <w:tcW w:w="6867" w:type="dxa"/>
            <w:gridSpan w:val="3"/>
            <w:vAlign w:val="center"/>
          </w:tcPr>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rPr>
              <w:t>1、如经过对所有投标人的投标文件进行评审，有效投标不足三个使得投标明显缺乏竞争的，评标委员会有权否决全部投标。</w:t>
            </w:r>
          </w:p>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2、评标</w:t>
            </w:r>
            <w:r>
              <w:rPr>
                <w:rFonts w:hint="eastAsia" w:ascii="宋体" w:hAnsi="宋体" w:cs="宋体"/>
                <w:spacing w:val="1"/>
                <w:kern w:val="0"/>
                <w:szCs w:val="21"/>
              </w:rPr>
              <w:t>委</w:t>
            </w:r>
            <w:r>
              <w:rPr>
                <w:rFonts w:hint="eastAsia" w:ascii="宋体" w:hAnsi="宋体" w:cs="宋体"/>
                <w:kern w:val="0"/>
                <w:szCs w:val="21"/>
              </w:rPr>
              <w:t>员会按照</w:t>
            </w:r>
            <w:r>
              <w:rPr>
                <w:rFonts w:hint="eastAsia" w:ascii="宋体" w:hAnsi="宋体" w:cs="宋体"/>
                <w:spacing w:val="1"/>
                <w:kern w:val="0"/>
                <w:szCs w:val="21"/>
              </w:rPr>
              <w:t>评</w:t>
            </w:r>
            <w:r>
              <w:rPr>
                <w:rFonts w:hint="eastAsia" w:ascii="宋体" w:hAnsi="宋体" w:cs="宋体"/>
                <w:kern w:val="0"/>
                <w:szCs w:val="21"/>
              </w:rPr>
              <w:t>审标准评审，推荐中标候选人。</w:t>
            </w:r>
          </w:p>
          <w:p>
            <w:pPr>
              <w:autoSpaceDE w:val="0"/>
              <w:autoSpaceDN w:val="0"/>
              <w:adjustRightInd w:val="0"/>
              <w:snapToGrid w:val="0"/>
              <w:spacing w:line="360" w:lineRule="auto"/>
              <w:jc w:val="left"/>
              <w:rPr>
                <w:rFonts w:ascii="宋体" w:hAnsi="宋体" w:cs="宋体"/>
                <w:kern w:val="0"/>
                <w:szCs w:val="21"/>
              </w:rPr>
            </w:pPr>
            <w:r>
              <w:rPr>
                <w:rFonts w:hint="eastAsia" w:ascii="宋体" w:hAnsi="宋体" w:cs="宋体"/>
                <w:kern w:val="0"/>
                <w:szCs w:val="21"/>
              </w:rPr>
              <w:t>3、评标委员会完成评标后，应当向招标人提交书面评标报告。</w:t>
            </w:r>
          </w:p>
          <w:p>
            <w:pPr>
              <w:autoSpaceDE w:val="0"/>
              <w:autoSpaceDN w:val="0"/>
              <w:adjustRightInd w:val="0"/>
              <w:snapToGrid w:val="0"/>
              <w:spacing w:line="360" w:lineRule="auto"/>
              <w:jc w:val="left"/>
              <w:rPr>
                <w:rFonts w:ascii="宋体" w:hAnsi="宋体" w:cs="宋体"/>
                <w:kern w:val="0"/>
              </w:rPr>
            </w:pPr>
            <w:r>
              <w:rPr>
                <w:rFonts w:hint="eastAsia" w:ascii="宋体" w:hAnsi="宋体" w:cs="宋体"/>
                <w:kern w:val="0"/>
              </w:rPr>
              <w:t>4、招标人将按中标候选人排序进行商务谈判后最终确定中标人。如与第一中标候选人商务谈判不能达成一致时，才与第二中标候选人进行商务谈判，以此类推。</w:t>
            </w:r>
          </w:p>
        </w:tc>
      </w:tr>
    </w:tbl>
    <w:p>
      <w:pPr>
        <w:spacing w:line="480" w:lineRule="auto"/>
        <w:rPr>
          <w:rFonts w:ascii="宋体" w:hAnsi="宋体" w:cs="宋体"/>
          <w:b/>
          <w:sz w:val="32"/>
          <w:szCs w:val="32"/>
        </w:rPr>
      </w:pPr>
      <w:bookmarkStart w:id="151" w:name="_Toc209605549"/>
      <w:bookmarkStart w:id="152" w:name="_Toc287607801"/>
      <w:bookmarkStart w:id="153" w:name="_Toc224103373"/>
      <w:bookmarkStart w:id="154" w:name="_Toc277082608"/>
      <w:bookmarkStart w:id="155" w:name="_Toc287620740"/>
    </w:p>
    <w:p>
      <w:pPr>
        <w:spacing w:line="480" w:lineRule="auto"/>
        <w:rPr>
          <w:rFonts w:ascii="宋体" w:hAnsi="宋体" w:cs="宋体"/>
          <w:b/>
          <w:sz w:val="32"/>
          <w:szCs w:val="32"/>
        </w:rPr>
        <w:sectPr>
          <w:headerReference r:id="rId11" w:type="default"/>
          <w:footerReference r:id="rId12" w:type="default"/>
          <w:footerReference r:id="rId13" w:type="even"/>
          <w:pgSz w:w="11906" w:h="16838"/>
          <w:pgMar w:top="1418" w:right="1361" w:bottom="1418" w:left="1418" w:header="851" w:footer="992" w:gutter="0"/>
          <w:pgNumType w:chapStyle="1"/>
          <w:cols w:space="720" w:num="1"/>
          <w:docGrid w:linePitch="312" w:charSpace="0"/>
        </w:sectPr>
      </w:pPr>
    </w:p>
    <w:p>
      <w:pPr>
        <w:rPr>
          <w:rFonts w:ascii="宋体" w:hAnsi="宋体" w:cs="宋体"/>
          <w:b/>
          <w:sz w:val="32"/>
          <w:szCs w:val="32"/>
        </w:rPr>
      </w:pPr>
      <w:r>
        <w:rPr>
          <w:rFonts w:hint="eastAsia" w:ascii="宋体" w:hAnsi="宋体" w:cs="宋体"/>
          <w:b/>
          <w:sz w:val="32"/>
          <w:szCs w:val="32"/>
        </w:rPr>
        <w:t>1.  评标方法</w:t>
      </w:r>
      <w:bookmarkEnd w:id="151"/>
      <w:bookmarkEnd w:id="152"/>
      <w:bookmarkEnd w:id="153"/>
      <w:bookmarkEnd w:id="154"/>
      <w:bookmarkEnd w:id="155"/>
    </w:p>
    <w:p>
      <w:pPr>
        <w:autoSpaceDE w:val="0"/>
        <w:autoSpaceDN w:val="0"/>
        <w:adjustRightInd w:val="0"/>
        <w:snapToGrid w:val="0"/>
        <w:spacing w:line="360" w:lineRule="auto"/>
        <w:ind w:firstLine="420"/>
        <w:rPr>
          <w:rFonts w:ascii="宋体" w:hAnsi="宋体" w:cs="宋体"/>
          <w:kern w:val="0"/>
          <w:szCs w:val="21"/>
        </w:rPr>
      </w:pPr>
      <w:bookmarkStart w:id="156" w:name="_Toc200513188"/>
      <w:bookmarkStart w:id="157" w:name="_Toc224103374"/>
      <w:bookmarkStart w:id="158" w:name="_Toc277082609"/>
      <w:bookmarkStart w:id="159" w:name="_Toc287620741"/>
      <w:bookmarkStart w:id="160" w:name="_Toc287607802"/>
      <w:r>
        <w:rPr>
          <w:rFonts w:hint="eastAsia" w:ascii="宋体" w:hAnsi="宋体" w:cs="宋体"/>
          <w:kern w:val="0"/>
          <w:szCs w:val="21"/>
        </w:rPr>
        <w:t>本次评标采用经评审的</w:t>
      </w:r>
      <w:r>
        <w:rPr>
          <w:rFonts w:hint="eastAsia" w:ascii="宋体" w:hAnsi="宋体" w:cs="宋体"/>
          <w:kern w:val="0"/>
        </w:rPr>
        <w:t>综合评标法合理低价中标</w:t>
      </w:r>
      <w:r>
        <w:rPr>
          <w:rFonts w:hint="eastAsia" w:ascii="宋体" w:hAnsi="宋体" w:cs="宋体"/>
          <w:spacing w:val="-31"/>
          <w:kern w:val="0"/>
          <w:szCs w:val="21"/>
        </w:rPr>
        <w:t>。</w:t>
      </w:r>
      <w:r>
        <w:rPr>
          <w:rFonts w:hint="eastAsia" w:ascii="宋体" w:hAnsi="宋体" w:cs="宋体"/>
          <w:kern w:val="0"/>
          <w:szCs w:val="21"/>
        </w:rPr>
        <w:t>价格相同时由招标人自行确定先后顺序.</w:t>
      </w:r>
    </w:p>
    <w:p>
      <w:pPr>
        <w:pStyle w:val="3"/>
        <w:spacing w:before="0" w:after="0"/>
        <w:rPr>
          <w:rFonts w:ascii="宋体" w:hAnsi="宋体" w:cs="宋体"/>
        </w:rPr>
      </w:pPr>
      <w:r>
        <w:rPr>
          <w:rFonts w:hint="eastAsia" w:ascii="宋体" w:hAnsi="宋体" w:cs="宋体"/>
        </w:rPr>
        <w:t>2.  评审标准</w:t>
      </w:r>
      <w:bookmarkEnd w:id="156"/>
      <w:bookmarkEnd w:id="157"/>
      <w:bookmarkEnd w:id="158"/>
      <w:bookmarkEnd w:id="159"/>
      <w:bookmarkEnd w:id="160"/>
    </w:p>
    <w:p>
      <w:pPr>
        <w:pStyle w:val="4"/>
        <w:spacing w:before="0" w:after="0"/>
        <w:rPr>
          <w:rFonts w:ascii="宋体" w:hAnsi="宋体" w:cs="宋体"/>
        </w:rPr>
      </w:pPr>
      <w:bookmarkStart w:id="161" w:name="_Toc200513189"/>
      <w:bookmarkStart w:id="162" w:name="_Toc277082610"/>
      <w:bookmarkStart w:id="163" w:name="_Toc287607803"/>
      <w:bookmarkStart w:id="164" w:name="_Toc224103375"/>
      <w:bookmarkStart w:id="165" w:name="_Toc287620742"/>
      <w:r>
        <w:rPr>
          <w:rFonts w:hint="eastAsia" w:ascii="宋体" w:hAnsi="宋体" w:cs="宋体"/>
        </w:rPr>
        <w:t>2.1  初步评审标准</w:t>
      </w:r>
      <w:bookmarkEnd w:id="161"/>
      <w:bookmarkEnd w:id="162"/>
      <w:bookmarkEnd w:id="163"/>
      <w:bookmarkEnd w:id="164"/>
      <w:bookmarkEnd w:id="165"/>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2.1.1  形式评审标准：见评标办法前附表。</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2.1.2  资格评审标准：见评标办法前附表。</w:t>
      </w:r>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2.1.3  响应性评审标准：见评标办法前附表。</w:t>
      </w:r>
    </w:p>
    <w:p>
      <w:pPr>
        <w:pStyle w:val="4"/>
        <w:spacing w:before="0" w:after="0"/>
        <w:rPr>
          <w:rFonts w:ascii="宋体" w:hAnsi="宋体" w:cs="宋体"/>
        </w:rPr>
      </w:pPr>
      <w:bookmarkStart w:id="166" w:name="_Toc287607804"/>
      <w:bookmarkStart w:id="167" w:name="_Toc277082611"/>
      <w:bookmarkStart w:id="168" w:name="_Toc287620743"/>
      <w:bookmarkStart w:id="169" w:name="_Toc200513190"/>
      <w:bookmarkStart w:id="170" w:name="_Toc224103376"/>
      <w:r>
        <w:rPr>
          <w:rFonts w:hint="eastAsia" w:ascii="宋体" w:hAnsi="宋体" w:cs="宋体"/>
        </w:rPr>
        <w:t>2.2  详细评审标准</w:t>
      </w:r>
      <w:bookmarkEnd w:id="166"/>
      <w:bookmarkEnd w:id="167"/>
      <w:bookmarkEnd w:id="168"/>
      <w:bookmarkEnd w:id="169"/>
      <w:bookmarkEnd w:id="170"/>
    </w:p>
    <w:p>
      <w:pPr>
        <w:autoSpaceDE w:val="0"/>
        <w:autoSpaceDN w:val="0"/>
        <w:adjustRightInd w:val="0"/>
        <w:snapToGrid w:val="0"/>
        <w:spacing w:line="360" w:lineRule="auto"/>
        <w:ind w:firstLine="401" w:firstLineChars="191"/>
        <w:jc w:val="left"/>
        <w:rPr>
          <w:rFonts w:ascii="宋体" w:hAnsi="宋体" w:cs="宋体"/>
          <w:kern w:val="0"/>
          <w:szCs w:val="21"/>
        </w:rPr>
      </w:pPr>
      <w:r>
        <w:rPr>
          <w:rFonts w:hint="eastAsia" w:ascii="宋体" w:hAnsi="宋体" w:cs="宋体"/>
          <w:kern w:val="0"/>
          <w:szCs w:val="21"/>
        </w:rPr>
        <w:t>详细评审标准：见评标办法前附表。</w:t>
      </w:r>
    </w:p>
    <w:p>
      <w:pPr>
        <w:pStyle w:val="3"/>
        <w:spacing w:before="0" w:after="0"/>
        <w:rPr>
          <w:rFonts w:ascii="宋体" w:hAnsi="宋体" w:cs="宋体"/>
        </w:rPr>
      </w:pPr>
      <w:bookmarkStart w:id="171" w:name="_Toc287607805"/>
      <w:bookmarkStart w:id="172" w:name="_Toc277082612"/>
      <w:bookmarkStart w:id="173" w:name="_Toc200513191"/>
      <w:bookmarkStart w:id="174" w:name="_Toc287620744"/>
      <w:bookmarkStart w:id="175" w:name="_Toc224103377"/>
      <w:r>
        <w:rPr>
          <w:rFonts w:hint="eastAsia" w:ascii="宋体" w:hAnsi="宋体" w:cs="宋体"/>
        </w:rPr>
        <w:t>3.  评标程序</w:t>
      </w:r>
      <w:bookmarkEnd w:id="171"/>
      <w:bookmarkEnd w:id="172"/>
      <w:bookmarkEnd w:id="173"/>
      <w:bookmarkEnd w:id="174"/>
      <w:bookmarkEnd w:id="175"/>
    </w:p>
    <w:p>
      <w:pPr>
        <w:rPr>
          <w:rFonts w:ascii="宋体" w:hAnsi="宋体" w:cs="宋体"/>
        </w:rPr>
      </w:pPr>
      <w:bookmarkStart w:id="176" w:name="_Toc246996980"/>
      <w:bookmarkStart w:id="177" w:name="_Toc179632612"/>
      <w:bookmarkStart w:id="178" w:name="_Toc144974561"/>
      <w:bookmarkStart w:id="179" w:name="_Toc296602482"/>
      <w:bookmarkStart w:id="180" w:name="_Toc152042371"/>
      <w:bookmarkStart w:id="181" w:name="_Toc152045594"/>
      <w:bookmarkStart w:id="182" w:name="_Toc247085752"/>
      <w:bookmarkStart w:id="183" w:name="_Toc246996237"/>
      <w:r>
        <w:rPr>
          <w:rFonts w:hint="eastAsia" w:ascii="宋体" w:hAnsi="宋体" w:cs="宋体"/>
        </w:rPr>
        <w:t>3.1 初步评审</w:t>
      </w:r>
      <w:bookmarkEnd w:id="176"/>
      <w:bookmarkEnd w:id="177"/>
      <w:bookmarkEnd w:id="178"/>
      <w:bookmarkEnd w:id="179"/>
      <w:bookmarkEnd w:id="180"/>
      <w:bookmarkEnd w:id="181"/>
      <w:bookmarkEnd w:id="182"/>
      <w:bookmarkEnd w:id="183"/>
    </w:p>
    <w:p>
      <w:pPr>
        <w:spacing w:line="400" w:lineRule="exact"/>
        <w:ind w:firstLine="420" w:firstLineChars="200"/>
        <w:rPr>
          <w:rFonts w:ascii="宋体" w:hAnsi="宋体" w:cs="宋体"/>
        </w:rPr>
      </w:pPr>
      <w:r>
        <w:rPr>
          <w:rFonts w:hint="eastAsia" w:ascii="宋体" w:hAnsi="宋体" w:cs="宋体"/>
        </w:rPr>
        <w:t>3.1.1评标委员会可以要求投标人提交第二章“投标人须知”第3.5.1项至第3.5.4项规定的有关证明和证件的原件，以便核验。评标委员会依据本章第2.1款规定的标准对投标文件进行初步评审。有一项不符合评审标准的，评标委员会应当否决其投标。</w:t>
      </w:r>
    </w:p>
    <w:p>
      <w:pPr>
        <w:spacing w:line="400" w:lineRule="exact"/>
        <w:ind w:firstLine="420" w:firstLineChars="200"/>
        <w:rPr>
          <w:rFonts w:ascii="宋体" w:hAnsi="宋体" w:cs="宋体"/>
        </w:rPr>
      </w:pPr>
      <w:r>
        <w:rPr>
          <w:rFonts w:hint="eastAsia" w:ascii="宋体" w:hAnsi="宋体" w:cs="宋体"/>
        </w:rPr>
        <w:t>3.1.2 投标人有以下情形之一的，评标委员会应当否决其投标：</w:t>
      </w:r>
    </w:p>
    <w:p>
      <w:pPr>
        <w:spacing w:line="400" w:lineRule="exact"/>
        <w:ind w:firstLine="718" w:firstLineChars="342"/>
        <w:rPr>
          <w:rFonts w:ascii="宋体" w:hAnsi="宋体" w:cs="宋体"/>
        </w:rPr>
      </w:pPr>
      <w:r>
        <w:rPr>
          <w:rFonts w:hint="eastAsia" w:ascii="宋体" w:hAnsi="宋体" w:cs="宋体"/>
        </w:rPr>
        <w:t>（1）第二章“投标人须知”第1.4.2项、第1.4.3项规定的任何一种情形的；</w:t>
      </w:r>
    </w:p>
    <w:p>
      <w:pPr>
        <w:spacing w:line="400" w:lineRule="exact"/>
        <w:ind w:firstLine="718" w:firstLineChars="342"/>
        <w:rPr>
          <w:rFonts w:ascii="宋体" w:hAnsi="宋体" w:cs="宋体"/>
        </w:rPr>
      </w:pPr>
      <w:r>
        <w:rPr>
          <w:rFonts w:hint="eastAsia" w:ascii="宋体" w:hAnsi="宋体" w:cs="宋体"/>
        </w:rPr>
        <w:t>（2）串通投标或弄虚作假或有其他违法行为的；</w:t>
      </w:r>
    </w:p>
    <w:p>
      <w:pPr>
        <w:spacing w:line="400" w:lineRule="exact"/>
        <w:ind w:firstLine="718" w:firstLineChars="342"/>
        <w:rPr>
          <w:rFonts w:ascii="宋体" w:hAnsi="宋体" w:cs="宋体"/>
        </w:rPr>
      </w:pPr>
      <w:r>
        <w:rPr>
          <w:rFonts w:hint="eastAsia" w:ascii="宋体" w:hAnsi="宋体" w:cs="宋体"/>
        </w:rPr>
        <w:t>（3）不按评标委员会要求澄清、说明或补正的。</w:t>
      </w:r>
    </w:p>
    <w:p>
      <w:pPr>
        <w:spacing w:line="400" w:lineRule="exact"/>
        <w:ind w:firstLine="420" w:firstLineChars="200"/>
        <w:rPr>
          <w:rFonts w:ascii="宋体" w:hAnsi="宋体" w:cs="宋体"/>
        </w:rPr>
      </w:pPr>
      <w:r>
        <w:rPr>
          <w:rFonts w:hint="eastAsia" w:ascii="宋体" w:hAnsi="宋体" w:cs="宋体"/>
        </w:rPr>
        <w:t>3.1.3投标报价有算术错误的，评标委员会按以下原则对投标报价进行修正，修正的价格经投标人书面确认后具有约束力。投标人不接受修正价格的，评标委员会应当否决其投标。</w:t>
      </w:r>
    </w:p>
    <w:p>
      <w:pPr>
        <w:spacing w:line="400" w:lineRule="exact"/>
        <w:ind w:firstLine="718" w:firstLineChars="342"/>
        <w:rPr>
          <w:rFonts w:ascii="宋体" w:hAnsi="宋体" w:cs="宋体"/>
        </w:rPr>
      </w:pPr>
      <w:r>
        <w:rPr>
          <w:rFonts w:hint="eastAsia" w:ascii="宋体" w:hAnsi="宋体" w:cs="宋体"/>
        </w:rPr>
        <w:t>（1）投标文件中的大写金额与小写金额不一致的，以大写金额为准；</w:t>
      </w:r>
    </w:p>
    <w:p>
      <w:pPr>
        <w:spacing w:line="400" w:lineRule="exact"/>
        <w:ind w:firstLine="716" w:firstLineChars="341"/>
        <w:rPr>
          <w:rFonts w:ascii="宋体" w:hAnsi="宋体" w:cs="宋体"/>
        </w:rPr>
      </w:pPr>
      <w:r>
        <w:rPr>
          <w:rFonts w:hint="eastAsia" w:ascii="宋体" w:hAnsi="宋体" w:cs="宋体"/>
        </w:rPr>
        <w:t>（2）总价金额与依据单价计算出的结果不一致的，以单价金额为准修正总价，但单价金额小数点有明显错误的除外。</w:t>
      </w:r>
    </w:p>
    <w:p>
      <w:pPr>
        <w:rPr>
          <w:rFonts w:ascii="宋体" w:hAnsi="宋体" w:cs="宋体"/>
        </w:rPr>
      </w:pPr>
      <w:bookmarkStart w:id="184" w:name="_Toc152045595"/>
      <w:bookmarkStart w:id="185" w:name="_Toc246996981"/>
      <w:bookmarkStart w:id="186" w:name="_Toc246996238"/>
      <w:bookmarkStart w:id="187" w:name="_Toc152042372"/>
      <w:bookmarkStart w:id="188" w:name="_Toc179632613"/>
      <w:bookmarkStart w:id="189" w:name="_Toc247085753"/>
      <w:bookmarkStart w:id="190" w:name="_Toc144974562"/>
      <w:bookmarkStart w:id="191" w:name="_Toc296602483"/>
      <w:r>
        <w:rPr>
          <w:rFonts w:hint="eastAsia" w:ascii="宋体" w:hAnsi="宋体" w:cs="宋体"/>
        </w:rPr>
        <w:t>3.2 详细评审</w:t>
      </w:r>
      <w:bookmarkEnd w:id="184"/>
      <w:bookmarkEnd w:id="185"/>
      <w:bookmarkEnd w:id="186"/>
      <w:bookmarkEnd w:id="187"/>
      <w:bookmarkEnd w:id="188"/>
      <w:bookmarkEnd w:id="189"/>
      <w:bookmarkEnd w:id="190"/>
      <w:bookmarkEnd w:id="191"/>
    </w:p>
    <w:p>
      <w:pPr>
        <w:spacing w:line="400" w:lineRule="exact"/>
        <w:ind w:firstLine="420" w:firstLineChars="200"/>
        <w:rPr>
          <w:rFonts w:ascii="宋体" w:hAnsi="宋体" w:cs="宋体"/>
        </w:rPr>
      </w:pPr>
      <w:r>
        <w:rPr>
          <w:rFonts w:hint="eastAsia" w:ascii="宋体" w:hAnsi="宋体" w:cs="宋体"/>
        </w:rPr>
        <w:t>3.2.1评标委员会按本章第2.2款规定的量化因素和标准进行价格折算，计算出评标价，并编制价格比较一览表。</w:t>
      </w:r>
    </w:p>
    <w:p>
      <w:pPr>
        <w:spacing w:line="400" w:lineRule="exact"/>
        <w:ind w:firstLine="420" w:firstLineChars="200"/>
        <w:rPr>
          <w:rFonts w:ascii="宋体" w:hAnsi="宋体" w:cs="宋体"/>
        </w:rPr>
      </w:pPr>
      <w:r>
        <w:rPr>
          <w:rFonts w:hint="eastAsia" w:ascii="宋体" w:hAnsi="宋体" w:cs="宋体"/>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rPr>
          <w:rFonts w:ascii="宋体" w:hAnsi="宋体" w:cs="宋体"/>
        </w:rPr>
      </w:pPr>
      <w:bookmarkStart w:id="192" w:name="_Toc144974563"/>
      <w:bookmarkStart w:id="193" w:name="_Toc152042373"/>
      <w:bookmarkStart w:id="194" w:name="_Toc296602484"/>
      <w:bookmarkStart w:id="195" w:name="_Toc246996982"/>
      <w:bookmarkStart w:id="196" w:name="_Toc247085754"/>
      <w:bookmarkStart w:id="197" w:name="_Toc179632614"/>
      <w:bookmarkStart w:id="198" w:name="_Toc246996239"/>
      <w:bookmarkStart w:id="199" w:name="_Toc152045596"/>
      <w:r>
        <w:rPr>
          <w:rFonts w:hint="eastAsia" w:ascii="宋体" w:hAnsi="宋体" w:cs="宋体"/>
        </w:rPr>
        <w:t>3.3 投标文件的澄清</w:t>
      </w:r>
      <w:bookmarkEnd w:id="192"/>
      <w:r>
        <w:rPr>
          <w:rFonts w:hint="eastAsia" w:ascii="宋体" w:hAnsi="宋体" w:cs="宋体"/>
        </w:rPr>
        <w:t>和补正</w:t>
      </w:r>
      <w:bookmarkEnd w:id="193"/>
      <w:bookmarkEnd w:id="194"/>
      <w:bookmarkEnd w:id="195"/>
      <w:bookmarkEnd w:id="196"/>
      <w:bookmarkEnd w:id="197"/>
      <w:bookmarkEnd w:id="198"/>
      <w:bookmarkEnd w:id="199"/>
    </w:p>
    <w:p>
      <w:pPr>
        <w:spacing w:line="400" w:lineRule="exact"/>
        <w:ind w:firstLine="420" w:firstLineChars="200"/>
        <w:rPr>
          <w:rFonts w:ascii="宋体" w:hAnsi="宋体" w:cs="宋体"/>
        </w:rPr>
      </w:pPr>
      <w:r>
        <w:rPr>
          <w:rFonts w:hint="eastAsia" w:ascii="宋体" w:hAnsi="宋体" w:cs="宋体"/>
        </w:rPr>
        <w:t>3.3.1在评标过程中，评标委员会可以书面形式要求投标人对所提交的投标文件中不明确的内容进行书面澄清或说明，或者对细微偏差进行补正。评标委员会不接受投标人主动提出的澄清、说明或补正。</w:t>
      </w:r>
    </w:p>
    <w:p>
      <w:pPr>
        <w:spacing w:line="400" w:lineRule="exact"/>
        <w:ind w:firstLine="420" w:firstLineChars="200"/>
        <w:rPr>
          <w:rFonts w:ascii="宋体" w:hAnsi="宋体" w:cs="宋体"/>
        </w:rPr>
      </w:pPr>
      <w:r>
        <w:rPr>
          <w:rFonts w:hint="eastAsia" w:ascii="宋体" w:hAnsi="宋体" w:cs="宋体"/>
        </w:rPr>
        <w:t>3.3.2 澄清、说明和补正不得改变投标文件的实质性内容。投标人的书面澄清、说明和补正属于投标文件的组成部分。</w:t>
      </w:r>
    </w:p>
    <w:p>
      <w:pPr>
        <w:spacing w:line="400" w:lineRule="exact"/>
        <w:ind w:firstLine="420" w:firstLineChars="200"/>
        <w:rPr>
          <w:rFonts w:ascii="宋体" w:hAnsi="宋体" w:cs="宋体"/>
        </w:rPr>
      </w:pPr>
      <w:r>
        <w:rPr>
          <w:rFonts w:hint="eastAsia" w:ascii="宋体" w:hAnsi="宋体" w:cs="宋体"/>
        </w:rPr>
        <w:t>3.3.3 评标委员会对投标人提交的澄清、说明或补正有疑问的，可以要求投标人进一步澄清、说明或补正，直至满足评标委员会的要求。</w:t>
      </w:r>
    </w:p>
    <w:p>
      <w:pPr>
        <w:rPr>
          <w:rFonts w:ascii="宋体" w:hAnsi="宋体" w:cs="宋体"/>
        </w:rPr>
      </w:pPr>
      <w:bookmarkStart w:id="200" w:name="_Toc247085755"/>
      <w:bookmarkStart w:id="201" w:name="_Toc152042374"/>
      <w:bookmarkStart w:id="202" w:name="_Toc179632615"/>
      <w:bookmarkStart w:id="203" w:name="_Toc152045597"/>
      <w:bookmarkStart w:id="204" w:name="_Toc246996240"/>
      <w:bookmarkStart w:id="205" w:name="_Toc144974564"/>
      <w:bookmarkStart w:id="206" w:name="_Toc296602485"/>
      <w:bookmarkStart w:id="207" w:name="_Toc246996983"/>
      <w:r>
        <w:rPr>
          <w:rFonts w:hint="eastAsia" w:ascii="宋体" w:hAnsi="宋体" w:cs="宋体"/>
        </w:rPr>
        <w:t>3.4 评标结果</w:t>
      </w:r>
      <w:bookmarkEnd w:id="200"/>
      <w:bookmarkEnd w:id="201"/>
      <w:bookmarkEnd w:id="202"/>
      <w:bookmarkEnd w:id="203"/>
      <w:bookmarkEnd w:id="204"/>
      <w:bookmarkEnd w:id="205"/>
      <w:bookmarkEnd w:id="206"/>
      <w:bookmarkEnd w:id="207"/>
    </w:p>
    <w:p>
      <w:pPr>
        <w:spacing w:line="400" w:lineRule="exact"/>
        <w:ind w:firstLine="420" w:firstLineChars="200"/>
        <w:rPr>
          <w:rFonts w:ascii="宋体" w:hAnsi="宋体" w:cs="宋体"/>
        </w:rPr>
      </w:pPr>
      <w:r>
        <w:rPr>
          <w:rFonts w:hint="eastAsia" w:ascii="宋体" w:hAnsi="宋体" w:cs="宋体"/>
        </w:rPr>
        <w:t>3.4.1除第二章“投标人须知”前附表授权直接确定中标人外，评标委员会按照经评审的价格由低到高的顺序推荐中标候选人。</w:t>
      </w:r>
    </w:p>
    <w:p>
      <w:pPr>
        <w:spacing w:line="400" w:lineRule="exact"/>
        <w:ind w:firstLine="420" w:firstLineChars="200"/>
        <w:rPr>
          <w:rFonts w:ascii="宋体" w:hAnsi="宋体" w:cs="宋体"/>
        </w:rPr>
      </w:pPr>
      <w:r>
        <w:rPr>
          <w:rFonts w:hint="eastAsia" w:ascii="宋体" w:hAnsi="宋体" w:cs="宋体"/>
        </w:rPr>
        <w:t>3.4.2 评标委员会完成评标后，应当向招标人提交书面评标报告。</w:t>
      </w:r>
    </w:p>
    <w:p>
      <w:pPr>
        <w:autoSpaceDE w:val="0"/>
        <w:autoSpaceDN w:val="0"/>
        <w:adjustRightInd w:val="0"/>
        <w:snapToGrid w:val="0"/>
        <w:spacing w:line="360" w:lineRule="auto"/>
        <w:ind w:firstLine="420" w:firstLineChars="200"/>
        <w:jc w:val="left"/>
        <w:rPr>
          <w:rFonts w:ascii="宋体" w:hAnsi="宋体" w:cs="宋体"/>
          <w:kern w:val="0"/>
          <w:szCs w:val="21"/>
        </w:rPr>
      </w:pPr>
    </w:p>
    <w:p>
      <w:pPr>
        <w:rPr>
          <w:rFonts w:ascii="宋体" w:hAnsi="宋体" w:cs="宋体"/>
          <w:szCs w:val="20"/>
        </w:rPr>
      </w:pPr>
    </w:p>
    <w:p>
      <w:pPr>
        <w:rPr>
          <w:rFonts w:ascii="宋体" w:hAnsi="宋体" w:cs="宋体"/>
          <w:szCs w:val="20"/>
        </w:rPr>
      </w:pPr>
    </w:p>
    <w:p>
      <w:pPr>
        <w:rPr>
          <w:rFonts w:ascii="宋体" w:hAnsi="宋体" w:cs="宋体"/>
          <w:szCs w:val="20"/>
        </w:rPr>
      </w:pPr>
    </w:p>
    <w:p>
      <w:pPr>
        <w:spacing w:line="480" w:lineRule="auto"/>
        <w:rPr>
          <w:rFonts w:ascii="宋体" w:hAnsi="宋体" w:cs="宋体"/>
          <w:b/>
          <w:sz w:val="32"/>
          <w:szCs w:val="32"/>
        </w:rPr>
      </w:pPr>
    </w:p>
    <w:p>
      <w:pPr>
        <w:spacing w:line="480" w:lineRule="auto"/>
        <w:rPr>
          <w:rFonts w:ascii="宋体" w:hAnsi="宋体" w:cs="宋体"/>
          <w:b/>
          <w:sz w:val="32"/>
          <w:szCs w:val="32"/>
        </w:rPr>
        <w:sectPr>
          <w:headerReference r:id="rId14" w:type="default"/>
          <w:footerReference r:id="rId15" w:type="default"/>
          <w:footerReference r:id="rId16" w:type="even"/>
          <w:pgSz w:w="11906" w:h="16838"/>
          <w:pgMar w:top="1418" w:right="1361" w:bottom="1418" w:left="1418" w:header="851" w:footer="992" w:gutter="0"/>
          <w:cols w:space="720" w:num="1"/>
          <w:docGrid w:linePitch="312" w:charSpace="0"/>
        </w:sectPr>
      </w:pPr>
    </w:p>
    <w:p>
      <w:pPr>
        <w:rPr>
          <w:rFonts w:ascii="宋体" w:hAnsi="宋体" w:cs="宋体"/>
          <w:szCs w:val="20"/>
        </w:rPr>
      </w:pPr>
    </w:p>
    <w:p>
      <w:pPr>
        <w:spacing w:line="360" w:lineRule="auto"/>
        <w:jc w:val="center"/>
        <w:rPr>
          <w:rFonts w:ascii="宋体" w:hAnsi="宋体" w:cs="宋体"/>
          <w:b/>
          <w:sz w:val="28"/>
          <w:szCs w:val="28"/>
        </w:rPr>
      </w:pPr>
      <w:r>
        <w:rPr>
          <w:rFonts w:hint="eastAsia" w:ascii="宋体" w:hAnsi="宋体" w:cs="宋体"/>
          <w:b/>
          <w:sz w:val="28"/>
          <w:szCs w:val="28"/>
        </w:rPr>
        <w:t>第四章 合同条款及格式</w:t>
      </w:r>
    </w:p>
    <w:p>
      <w:pPr>
        <w:jc w:val="center"/>
        <w:rPr>
          <w:rFonts w:ascii="宋体" w:hAnsi="宋体" w:cs="宋体"/>
          <w:b/>
          <w:sz w:val="72"/>
          <w:szCs w:val="52"/>
        </w:rPr>
      </w:pPr>
      <w:bookmarkStart w:id="208" w:name="_Toc296890982"/>
      <w:bookmarkStart w:id="209" w:name="_Toc351203480"/>
      <w:bookmarkStart w:id="210" w:name="_Toc296503025"/>
      <w:bookmarkStart w:id="211" w:name="_Toc371493140"/>
    </w:p>
    <w:p>
      <w:pPr>
        <w:jc w:val="center"/>
        <w:rPr>
          <w:rFonts w:ascii="宋体" w:hAnsi="宋体" w:cs="宋体"/>
          <w:b/>
          <w:sz w:val="72"/>
          <w:szCs w:val="52"/>
        </w:rPr>
      </w:pPr>
    </w:p>
    <w:p>
      <w:pPr>
        <w:jc w:val="center"/>
        <w:rPr>
          <w:rFonts w:ascii="宋体" w:hAnsi="宋体" w:cs="宋体"/>
          <w:b/>
          <w:sz w:val="52"/>
          <w:szCs w:val="72"/>
        </w:rPr>
      </w:pPr>
      <w:r>
        <w:rPr>
          <w:rFonts w:hint="eastAsia" w:ascii="宋体" w:hAnsi="宋体" w:cs="宋体"/>
          <w:b/>
          <w:sz w:val="52"/>
          <w:szCs w:val="72"/>
        </w:rPr>
        <w:t>西彭组团D63、D64地块厂房项目</w:t>
      </w:r>
    </w:p>
    <w:p>
      <w:pPr>
        <w:jc w:val="center"/>
        <w:rPr>
          <w:rFonts w:ascii="宋体" w:hAnsi="宋体" w:cs="宋体"/>
          <w:b/>
          <w:sz w:val="44"/>
          <w:szCs w:val="52"/>
        </w:rPr>
      </w:pPr>
      <w:r>
        <w:rPr>
          <w:rFonts w:hint="eastAsia" w:ascii="宋体" w:hAnsi="宋体" w:cs="宋体"/>
          <w:b/>
          <w:sz w:val="52"/>
          <w:szCs w:val="72"/>
        </w:rPr>
        <w:t>钢结构工程专业分包</w:t>
      </w:r>
      <w:r>
        <w:rPr>
          <w:rFonts w:hint="eastAsia" w:ascii="宋体" w:hAnsi="宋体" w:cs="宋体"/>
          <w:b/>
          <w:sz w:val="52"/>
          <w:szCs w:val="52"/>
        </w:rPr>
        <w:t>合同</w:t>
      </w:r>
    </w:p>
    <w:p>
      <w:pPr>
        <w:jc w:val="center"/>
        <w:rPr>
          <w:rFonts w:ascii="宋体" w:hAnsi="宋体" w:cs="宋体"/>
          <w:b/>
          <w:sz w:val="32"/>
        </w:rPr>
      </w:pPr>
    </w:p>
    <w:p>
      <w:pPr>
        <w:jc w:val="center"/>
        <w:rPr>
          <w:rFonts w:ascii="宋体" w:hAnsi="宋体" w:cs="宋体"/>
          <w:b/>
          <w:sz w:val="32"/>
        </w:rPr>
      </w:pPr>
    </w:p>
    <w:p>
      <w:pPr>
        <w:rPr>
          <w:rFonts w:ascii="宋体" w:hAnsi="宋体" w:cs="宋体"/>
          <w:sz w:val="32"/>
        </w:rPr>
      </w:pPr>
    </w:p>
    <w:p>
      <w:pPr>
        <w:ind w:firstLine="2080" w:firstLineChars="650"/>
        <w:rPr>
          <w:rFonts w:ascii="宋体" w:hAnsi="宋体" w:cs="宋体"/>
          <w:sz w:val="32"/>
        </w:rPr>
      </w:pPr>
      <w:r>
        <w:rPr>
          <w:rFonts w:hint="eastAsia" w:ascii="宋体" w:hAnsi="宋体" w:cs="宋体"/>
          <w:sz w:val="32"/>
        </w:rPr>
        <w:t>发 包  人：</w:t>
      </w:r>
      <w:r>
        <w:rPr>
          <w:rFonts w:hint="eastAsia" w:ascii="宋体" w:hAnsi="宋体" w:cs="宋体"/>
          <w:sz w:val="32"/>
          <w:u w:val="single"/>
        </w:rPr>
        <w:t>中机中联工程有限公司</w:t>
      </w:r>
    </w:p>
    <w:p>
      <w:pPr>
        <w:ind w:firstLine="2080" w:firstLineChars="650"/>
        <w:rPr>
          <w:rFonts w:ascii="宋体" w:hAnsi="宋体" w:cs="宋体"/>
          <w:sz w:val="32"/>
          <w:u w:val="single"/>
        </w:rPr>
      </w:pPr>
      <w:r>
        <w:rPr>
          <w:rFonts w:hint="eastAsia" w:ascii="宋体" w:hAnsi="宋体" w:cs="宋体"/>
          <w:sz w:val="32"/>
        </w:rPr>
        <w:t xml:space="preserve">承 包  人： </w:t>
      </w:r>
    </w:p>
    <w:p>
      <w:pPr>
        <w:rPr>
          <w:rFonts w:ascii="宋体" w:hAnsi="宋体" w:cs="宋体"/>
          <w:sz w:val="32"/>
        </w:rPr>
      </w:pPr>
    </w:p>
    <w:p>
      <w:pPr>
        <w:rPr>
          <w:rFonts w:ascii="宋体" w:hAnsi="宋体" w:cs="宋体"/>
          <w:sz w:val="32"/>
        </w:rPr>
      </w:pPr>
    </w:p>
    <w:p>
      <w:pPr>
        <w:rPr>
          <w:rFonts w:ascii="宋体" w:hAnsi="宋体" w:cs="宋体"/>
          <w:sz w:val="32"/>
        </w:rPr>
      </w:pPr>
    </w:p>
    <w:p>
      <w:pPr>
        <w:ind w:firstLine="600" w:firstLineChars="200"/>
        <w:rPr>
          <w:rFonts w:ascii="宋体" w:hAnsi="宋体" w:cs="宋体"/>
          <w:sz w:val="30"/>
        </w:rPr>
      </w:pPr>
    </w:p>
    <w:p>
      <w:pPr>
        <w:rPr>
          <w:rFonts w:ascii="宋体" w:hAnsi="宋体" w:cs="宋体"/>
          <w:b/>
          <w:sz w:val="36"/>
        </w:rPr>
      </w:pPr>
    </w:p>
    <w:p>
      <w:pPr>
        <w:jc w:val="center"/>
        <w:rPr>
          <w:rFonts w:ascii="宋体" w:hAnsi="宋体" w:cs="宋体"/>
          <w:b/>
          <w:sz w:val="36"/>
        </w:rPr>
      </w:pPr>
      <w:r>
        <w:rPr>
          <w:rFonts w:hint="eastAsia" w:ascii="宋体" w:hAnsi="宋体" w:cs="宋体"/>
          <w:b/>
          <w:sz w:val="36"/>
        </w:rPr>
        <w:t>二0一八年  月</w:t>
      </w:r>
    </w:p>
    <w:p>
      <w:pPr>
        <w:pStyle w:val="35"/>
        <w:wordWrap w:val="0"/>
        <w:ind w:firstLine="602"/>
        <w:jc w:val="center"/>
        <w:rPr>
          <w:rFonts w:ascii="宋体" w:hAnsi="宋体" w:cs="宋体"/>
          <w:sz w:val="30"/>
        </w:rPr>
      </w:pPr>
      <w:r>
        <w:rPr>
          <w:rFonts w:hint="eastAsia" w:ascii="宋体" w:hAnsi="宋体" w:cs="宋体"/>
          <w:sz w:val="30"/>
        </w:rPr>
        <w:br w:type="page"/>
      </w:r>
    </w:p>
    <w:p>
      <w:pPr>
        <w:pStyle w:val="35"/>
        <w:wordWrap w:val="0"/>
        <w:ind w:firstLine="602"/>
        <w:jc w:val="center"/>
        <w:rPr>
          <w:rFonts w:ascii="宋体" w:hAnsi="宋体" w:cs="宋体"/>
        </w:rPr>
      </w:pPr>
      <w:bookmarkStart w:id="212" w:name="_Toc389586295"/>
      <w:r>
        <w:rPr>
          <w:rFonts w:hint="eastAsia" w:ascii="宋体" w:hAnsi="宋体" w:cs="宋体"/>
        </w:rPr>
        <w:t>第一部分 分包合同协议书</w:t>
      </w:r>
      <w:bookmarkEnd w:id="208"/>
      <w:bookmarkEnd w:id="209"/>
      <w:bookmarkEnd w:id="210"/>
      <w:bookmarkEnd w:id="211"/>
      <w:bookmarkEnd w:id="212"/>
    </w:p>
    <w:p>
      <w:pPr>
        <w:adjustRightInd w:val="0"/>
        <w:snapToGrid w:val="0"/>
        <w:spacing w:line="400" w:lineRule="exact"/>
        <w:rPr>
          <w:rFonts w:ascii="宋体" w:hAnsi="宋体" w:cs="宋体"/>
          <w:b/>
          <w:sz w:val="24"/>
          <w:u w:val="single"/>
        </w:rPr>
      </w:pPr>
      <w:r>
        <w:rPr>
          <w:rFonts w:hint="eastAsia" w:ascii="宋体" w:hAnsi="宋体" w:cs="宋体"/>
          <w:b/>
          <w:sz w:val="24"/>
        </w:rPr>
        <w:t>发包人（全称）：</w:t>
      </w:r>
      <w:r>
        <w:rPr>
          <w:rFonts w:hint="eastAsia" w:ascii="宋体" w:hAnsi="宋体" w:cs="宋体"/>
          <w:b/>
          <w:sz w:val="24"/>
          <w:u w:val="single"/>
        </w:rPr>
        <w:t>中机中联工程有限公司（简称甲方）</w:t>
      </w:r>
    </w:p>
    <w:p>
      <w:pPr>
        <w:adjustRightInd w:val="0"/>
        <w:snapToGrid w:val="0"/>
        <w:spacing w:line="400" w:lineRule="exact"/>
        <w:rPr>
          <w:rFonts w:ascii="宋体" w:hAnsi="宋体" w:cs="宋体"/>
          <w:b/>
          <w:sz w:val="24"/>
          <w:u w:val="single"/>
        </w:rPr>
      </w:pPr>
      <w:r>
        <w:rPr>
          <w:rFonts w:hint="eastAsia" w:ascii="宋体" w:hAnsi="宋体" w:cs="宋体"/>
          <w:b/>
          <w:sz w:val="24"/>
        </w:rPr>
        <w:t>承包人（全称）：</w:t>
      </w:r>
      <w:r>
        <w:rPr>
          <w:rFonts w:hint="eastAsia" w:ascii="宋体" w:hAnsi="宋体" w:cs="宋体"/>
          <w:b/>
          <w:sz w:val="24"/>
          <w:u w:val="single"/>
        </w:rPr>
        <w:t>              （简称乙方）</w:t>
      </w:r>
    </w:p>
    <w:p>
      <w:pPr>
        <w:adjustRightInd w:val="0"/>
        <w:snapToGrid w:val="0"/>
        <w:spacing w:line="400" w:lineRule="exact"/>
        <w:ind w:firstLine="420" w:firstLineChars="200"/>
        <w:rPr>
          <w:rFonts w:ascii="宋体" w:hAnsi="宋体" w:cs="宋体"/>
          <w:szCs w:val="21"/>
        </w:rPr>
      </w:pPr>
      <w:r>
        <w:rPr>
          <w:rFonts w:hint="eastAsia" w:ascii="宋体" w:hAnsi="宋体" w:cs="宋体"/>
          <w:szCs w:val="21"/>
        </w:rPr>
        <w:t>根据《中华人民共和国合同法》、《中华人民共和国建筑法》及有关法律规定，遵循平等、自愿、公平和诚实信用的原则，双方就</w:t>
      </w:r>
      <w:r>
        <w:rPr>
          <w:rFonts w:hint="eastAsia" w:ascii="宋体" w:hAnsi="宋体" w:cs="宋体"/>
          <w:szCs w:val="21"/>
          <w:u w:val="single"/>
        </w:rPr>
        <w:t>西彭组团D63、D64地块厂房项目钢结构工程专业分包</w:t>
      </w:r>
      <w:r>
        <w:rPr>
          <w:rFonts w:hint="eastAsia" w:ascii="宋体" w:hAnsi="宋体" w:cs="宋体"/>
          <w:szCs w:val="21"/>
        </w:rPr>
        <w:t>施工及有关事项协商一致，共同达成如下协议：</w:t>
      </w:r>
    </w:p>
    <w:p>
      <w:pPr>
        <w:pStyle w:val="3"/>
        <w:adjustRightInd w:val="0"/>
        <w:snapToGrid w:val="0"/>
        <w:spacing w:before="156" w:beforeLines="50" w:after="0" w:line="400" w:lineRule="exact"/>
        <w:rPr>
          <w:rFonts w:ascii="宋体" w:hAnsi="宋体" w:cs="宋体"/>
          <w:sz w:val="21"/>
          <w:szCs w:val="21"/>
        </w:rPr>
      </w:pPr>
      <w:bookmarkStart w:id="213" w:name="_Toc389586296"/>
      <w:bookmarkStart w:id="214" w:name="_Toc351203481"/>
      <w:bookmarkStart w:id="215" w:name="_Toc371493141"/>
      <w:r>
        <w:rPr>
          <w:rFonts w:hint="eastAsia" w:ascii="宋体" w:hAnsi="宋体" w:cs="宋体"/>
          <w:sz w:val="21"/>
          <w:szCs w:val="21"/>
        </w:rPr>
        <w:t>一、工程概况</w:t>
      </w:r>
      <w:bookmarkEnd w:id="213"/>
      <w:bookmarkEnd w:id="214"/>
      <w:bookmarkEnd w:id="215"/>
    </w:p>
    <w:p>
      <w:pPr>
        <w:adjustRightInd w:val="0"/>
        <w:snapToGrid w:val="0"/>
        <w:spacing w:line="400" w:lineRule="exact"/>
        <w:ind w:firstLine="411" w:firstLineChars="196"/>
        <w:rPr>
          <w:rFonts w:ascii="宋体" w:hAnsi="宋体" w:cs="宋体"/>
          <w:szCs w:val="21"/>
          <w:u w:val="single"/>
        </w:rPr>
      </w:pPr>
      <w:r>
        <w:rPr>
          <w:rFonts w:hint="eastAsia" w:ascii="宋体" w:hAnsi="宋体" w:cs="宋体"/>
          <w:bCs/>
          <w:szCs w:val="21"/>
        </w:rPr>
        <w:t>1.工程名称</w:t>
      </w:r>
      <w:r>
        <w:rPr>
          <w:rFonts w:hint="eastAsia" w:ascii="宋体" w:hAnsi="宋体" w:cs="宋体"/>
          <w:szCs w:val="21"/>
        </w:rPr>
        <w:t>：</w:t>
      </w:r>
      <w:r>
        <w:rPr>
          <w:rFonts w:hint="eastAsia" w:ascii="宋体" w:hAnsi="宋体" w:cs="宋体"/>
          <w:szCs w:val="21"/>
          <w:u w:val="single"/>
        </w:rPr>
        <w:t>西彭组团D63、D64地块厂房项目</w:t>
      </w:r>
      <w:r>
        <w:rPr>
          <w:rFonts w:hint="eastAsia" w:ascii="宋体" w:hAnsi="宋体" w:cs="宋体"/>
          <w:szCs w:val="21"/>
        </w:rPr>
        <w:t>。</w:t>
      </w:r>
    </w:p>
    <w:p>
      <w:pPr>
        <w:adjustRightInd w:val="0"/>
        <w:snapToGrid w:val="0"/>
        <w:spacing w:line="400" w:lineRule="exact"/>
        <w:ind w:firstLine="411" w:firstLineChars="196"/>
        <w:rPr>
          <w:rFonts w:ascii="宋体" w:hAnsi="宋体" w:cs="宋体"/>
          <w:szCs w:val="21"/>
        </w:rPr>
      </w:pPr>
      <w:r>
        <w:rPr>
          <w:rFonts w:hint="eastAsia" w:ascii="宋体" w:hAnsi="宋体" w:cs="宋体"/>
          <w:bCs/>
          <w:szCs w:val="21"/>
        </w:rPr>
        <w:t>2.工程地点：</w:t>
      </w:r>
      <w:r>
        <w:rPr>
          <w:rFonts w:hint="eastAsia" w:ascii="宋体" w:hAnsi="宋体" w:cs="宋体"/>
          <w:szCs w:val="21"/>
          <w:u w:val="single"/>
        </w:rPr>
        <w:t>西彭组团D63、D64地块</w:t>
      </w:r>
      <w:r>
        <w:rPr>
          <w:rFonts w:hint="eastAsia" w:ascii="宋体" w:hAnsi="宋体" w:cs="宋体"/>
          <w:szCs w:val="21"/>
        </w:rPr>
        <w:t>。</w:t>
      </w:r>
    </w:p>
    <w:p>
      <w:pPr>
        <w:spacing w:line="360" w:lineRule="auto"/>
        <w:ind w:firstLine="420" w:firstLineChars="200"/>
        <w:rPr>
          <w:rFonts w:ascii="宋体" w:hAnsi="宋体" w:cs="宋体"/>
          <w:szCs w:val="21"/>
        </w:rPr>
      </w:pPr>
      <w:r>
        <w:rPr>
          <w:rFonts w:hint="eastAsia" w:ascii="宋体" w:hAnsi="宋体" w:cs="宋体"/>
          <w:szCs w:val="21"/>
        </w:rPr>
        <w:t>3. 分包作业范围：</w:t>
      </w:r>
    </w:p>
    <w:p>
      <w:pPr>
        <w:spacing w:line="50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rPr>
        <w:t>（1）主要包括（详见图纸、已报价工程量清单及技术标准与要求）</w:t>
      </w:r>
      <w:r>
        <w:rPr>
          <w:rFonts w:hint="eastAsia" w:ascii="宋体" w:hAnsi="宋体" w:cs="宋体"/>
          <w:snapToGrid w:val="0"/>
          <w:kern w:val="0"/>
          <w:szCs w:val="21"/>
          <w:highlight w:val="yellow"/>
        </w:rPr>
        <w:t>：</w:t>
      </w:r>
      <w:r>
        <w:rPr>
          <w:rFonts w:hint="eastAsia" w:ascii="宋体" w:hAnsi="宋体" w:cs="宋体"/>
          <w:szCs w:val="21"/>
          <w:u w:val="single"/>
        </w:rPr>
        <w:t>西彭组团D63、D64地块厂房项目</w:t>
      </w:r>
      <w:r>
        <w:rPr>
          <w:rFonts w:hint="eastAsia" w:ascii="宋体" w:hAnsi="宋体" w:cs="宋体"/>
          <w:snapToGrid w:val="0"/>
          <w:kern w:val="0"/>
          <w:szCs w:val="21"/>
          <w:highlight w:val="yellow"/>
          <w:u w:val="single"/>
        </w:rPr>
        <w:t>钢结构工程所有钢结构工程（不含栏杆，不含室内隔墙，），包括但不限于：地脚螺栓的预埋，主次钢构（含行车梁）的加工、制作、运输、安装，钢爬梯、钢楼梯的制作安装，内外天沟制作安装，女儿墙口铝单板幕墙的制作安装，辅房楼承钢板的制作安装，屋脊通风器的采购及安装，屋面采光窗的制作及安装，设备及管道的支架制作安装，防火防腐涂料的涂装，屋面维护系统的制作安装，墙面维护系统的制作安装，墙面屋面的收边收口等，玻璃幕墙采购、制作、安装，铝合金窗采购、安装，采购、天沟雨水斗及接入PVC水落管的钢板接口。（详见图纸）。</w:t>
      </w:r>
    </w:p>
    <w:p>
      <w:pPr>
        <w:spacing w:line="50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u w:val="single"/>
        </w:rPr>
        <w:t>（2）钢结构预留预埋：配合其他专业预留预埋工作。</w:t>
      </w:r>
    </w:p>
    <w:p>
      <w:pPr>
        <w:spacing w:line="42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u w:val="single"/>
        </w:rPr>
        <w:t>（3）协助配合其他标段的工作，配合后期设备的安装与调试。</w:t>
      </w:r>
    </w:p>
    <w:p>
      <w:pPr>
        <w:spacing w:line="42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u w:val="single"/>
        </w:rPr>
        <w:t>（4）要求本标段乙方包机具、周转材、辅材。</w:t>
      </w:r>
    </w:p>
    <w:p>
      <w:pPr>
        <w:spacing w:line="420" w:lineRule="exact"/>
        <w:ind w:firstLine="420" w:firstLineChars="200"/>
        <w:outlineLvl w:val="1"/>
        <w:rPr>
          <w:rFonts w:ascii="宋体" w:hAnsi="宋体" w:cs="宋体"/>
          <w:snapToGrid w:val="0"/>
          <w:kern w:val="0"/>
          <w:szCs w:val="21"/>
          <w:u w:val="single"/>
        </w:rPr>
      </w:pPr>
      <w:r>
        <w:rPr>
          <w:rFonts w:hint="eastAsia" w:ascii="宋体" w:hAnsi="宋体" w:cs="宋体"/>
          <w:snapToGrid w:val="0"/>
          <w:kern w:val="0"/>
          <w:szCs w:val="21"/>
          <w:u w:val="single"/>
        </w:rPr>
        <w:t>（5）要求本标段场地内周转材转运费用乙方自理。</w:t>
      </w:r>
    </w:p>
    <w:p>
      <w:pPr>
        <w:spacing w:line="420" w:lineRule="exact"/>
        <w:ind w:firstLine="420" w:firstLineChars="200"/>
        <w:outlineLvl w:val="1"/>
        <w:rPr>
          <w:rFonts w:ascii="宋体" w:hAnsi="宋体" w:cs="宋体"/>
          <w:snapToGrid w:val="0"/>
          <w:kern w:val="0"/>
          <w:szCs w:val="21"/>
        </w:rPr>
      </w:pPr>
      <w:r>
        <w:rPr>
          <w:rFonts w:hint="eastAsia" w:ascii="宋体" w:hAnsi="宋体" w:cs="宋体"/>
          <w:snapToGrid w:val="0"/>
          <w:kern w:val="0"/>
          <w:szCs w:val="21"/>
          <w:u w:val="single"/>
        </w:rPr>
        <w:t>（6）</w:t>
      </w:r>
      <w:r>
        <w:rPr>
          <w:rFonts w:hint="eastAsia" w:ascii="宋体" w:hAnsi="宋体" w:cs="宋体"/>
          <w:szCs w:val="21"/>
          <w:u w:val="single"/>
        </w:rPr>
        <w:t>其他工作内容：</w:t>
      </w:r>
    </w:p>
    <w:p>
      <w:pPr>
        <w:snapToGrid w:val="0"/>
        <w:spacing w:line="360" w:lineRule="auto"/>
        <w:ind w:firstLine="630" w:firstLineChars="300"/>
        <w:jc w:val="left"/>
        <w:rPr>
          <w:rFonts w:ascii="宋体" w:hAnsi="宋体" w:cs="宋体"/>
          <w:szCs w:val="21"/>
        </w:rPr>
      </w:pPr>
      <w:r>
        <w:rPr>
          <w:rFonts w:hint="eastAsia" w:ascii="宋体" w:hAnsi="宋体" w:cs="宋体"/>
          <w:szCs w:val="21"/>
        </w:rPr>
        <w:t>1）配合现场的各种设备、材料、试件的送检工作(根据实际需求数量派相关工人、运输工具全程跟踪配合)。</w:t>
      </w:r>
    </w:p>
    <w:p>
      <w:pPr>
        <w:snapToGrid w:val="0"/>
        <w:spacing w:line="360" w:lineRule="auto"/>
        <w:ind w:firstLine="630" w:firstLineChars="300"/>
        <w:jc w:val="left"/>
        <w:rPr>
          <w:rFonts w:ascii="宋体" w:hAnsi="宋体" w:cs="宋体"/>
          <w:szCs w:val="21"/>
        </w:rPr>
      </w:pPr>
      <w:r>
        <w:rPr>
          <w:rFonts w:hint="eastAsia" w:ascii="宋体" w:hAnsi="宋体" w:cs="宋体"/>
          <w:szCs w:val="21"/>
        </w:rPr>
        <w:t>2）配合甲方及其他分包单位的工作（根据甲方的指令组织相关人员及物资配合甲方和相关专业分包单位工作）。</w:t>
      </w:r>
    </w:p>
    <w:p>
      <w:pPr>
        <w:snapToGrid w:val="0"/>
        <w:spacing w:line="360" w:lineRule="auto"/>
        <w:ind w:firstLine="525" w:firstLineChars="250"/>
        <w:jc w:val="left"/>
        <w:rPr>
          <w:rFonts w:ascii="宋体" w:hAnsi="宋体" w:cs="宋体"/>
          <w:szCs w:val="21"/>
        </w:rPr>
      </w:pPr>
      <w:r>
        <w:rPr>
          <w:rFonts w:hint="eastAsia" w:ascii="宋体" w:hAnsi="宋体" w:cs="宋体"/>
          <w:szCs w:val="21"/>
        </w:rPr>
        <w:t xml:space="preserve"> 3）对于乙方在施工过程搭设的临时设施，如甲方要求拆除，乙方应按甲方的要求予以拆除清运出场（除渣工作费用参照本条第4条执行），并将现场清理干净，费用由乙方承担。</w:t>
      </w:r>
    </w:p>
    <w:p>
      <w:pPr>
        <w:snapToGrid w:val="0"/>
        <w:spacing w:line="360" w:lineRule="auto"/>
        <w:ind w:firstLine="525" w:firstLineChars="250"/>
        <w:jc w:val="left"/>
        <w:rPr>
          <w:rFonts w:ascii="宋体" w:hAnsi="宋体" w:cs="宋体"/>
          <w:szCs w:val="21"/>
        </w:rPr>
      </w:pPr>
      <w:r>
        <w:rPr>
          <w:rFonts w:hint="eastAsia" w:ascii="宋体" w:hAnsi="宋体" w:cs="宋体"/>
          <w:szCs w:val="21"/>
        </w:rPr>
        <w:t xml:space="preserve"> 4）建筑及生活垃圾清运出场运至渣弃渣的全部工作及费用（含场内清理、集中堆放、上下车费、运输费、渣场费、市政道路的清扫、保洁、防尘、以及违反国家及地方相关规定的所有处罚费用、相关职能部门的协调费用等）由乙方负责。</w:t>
      </w:r>
    </w:p>
    <w:p>
      <w:pPr>
        <w:snapToGrid w:val="0"/>
        <w:spacing w:line="360" w:lineRule="auto"/>
        <w:ind w:firstLine="525" w:firstLineChars="250"/>
        <w:jc w:val="left"/>
        <w:rPr>
          <w:rFonts w:ascii="宋体" w:hAnsi="宋体" w:cs="宋体"/>
          <w:b/>
          <w:bCs/>
          <w:szCs w:val="21"/>
          <w:u w:val="single"/>
        </w:rPr>
      </w:pPr>
      <w:r>
        <w:rPr>
          <w:rFonts w:hint="eastAsia" w:ascii="宋体" w:hAnsi="宋体" w:cs="宋体"/>
          <w:szCs w:val="21"/>
        </w:rPr>
        <w:t>5）</w:t>
      </w:r>
      <w:r>
        <w:rPr>
          <w:rFonts w:hint="eastAsia" w:ascii="宋体" w:hAnsi="宋体" w:cs="宋体"/>
          <w:b/>
          <w:bCs/>
          <w:snapToGrid w:val="0"/>
          <w:kern w:val="0"/>
          <w:szCs w:val="21"/>
          <w:u w:val="single"/>
        </w:rPr>
        <w:t>特别说明：钢结构的</w:t>
      </w:r>
      <w:r>
        <w:rPr>
          <w:rFonts w:hint="eastAsia" w:ascii="宋体" w:hAnsi="宋体" w:cs="宋体"/>
          <w:b/>
          <w:bCs/>
          <w:szCs w:val="21"/>
          <w:u w:val="single"/>
        </w:rPr>
        <w:t>防火涂料、防火板等由承包人报项目所在地消防主管部门，由该部门出具合格验收意见函。达到不影响整体项目消防验收的目的。</w:t>
      </w:r>
    </w:p>
    <w:p>
      <w:pPr>
        <w:pStyle w:val="3"/>
        <w:adjustRightInd w:val="0"/>
        <w:snapToGrid w:val="0"/>
        <w:spacing w:before="156" w:beforeLines="50" w:after="0" w:line="400" w:lineRule="exact"/>
        <w:rPr>
          <w:rFonts w:ascii="宋体" w:hAnsi="宋体" w:cs="宋体"/>
          <w:sz w:val="21"/>
          <w:szCs w:val="21"/>
        </w:rPr>
      </w:pPr>
      <w:bookmarkStart w:id="216" w:name="_Toc351203482"/>
      <w:r>
        <w:rPr>
          <w:rFonts w:hint="eastAsia" w:ascii="宋体" w:hAnsi="宋体" w:cs="宋体"/>
          <w:sz w:val="21"/>
          <w:szCs w:val="21"/>
        </w:rPr>
        <w:t>二、合同工期</w:t>
      </w:r>
      <w:bookmarkEnd w:id="216"/>
    </w:p>
    <w:p>
      <w:pPr>
        <w:tabs>
          <w:tab w:val="left" w:pos="5358"/>
        </w:tabs>
        <w:snapToGrid w:val="0"/>
        <w:spacing w:line="360" w:lineRule="auto"/>
        <w:ind w:firstLine="459"/>
        <w:jc w:val="left"/>
        <w:rPr>
          <w:rFonts w:ascii="宋体" w:hAnsi="宋体" w:cs="宋体"/>
          <w:szCs w:val="21"/>
        </w:rPr>
      </w:pPr>
      <w:r>
        <w:rPr>
          <w:rFonts w:hint="eastAsia" w:ascii="宋体" w:hAnsi="宋体" w:cs="宋体"/>
          <w:szCs w:val="21"/>
        </w:rPr>
        <w:t>计划开工日期：年 月 日。</w:t>
      </w:r>
      <w:r>
        <w:rPr>
          <w:rFonts w:hint="eastAsia" w:ascii="宋体" w:hAnsi="宋体" w:cs="宋体"/>
          <w:szCs w:val="21"/>
        </w:rPr>
        <w:tab/>
      </w:r>
    </w:p>
    <w:p>
      <w:pPr>
        <w:snapToGrid w:val="0"/>
        <w:spacing w:line="360" w:lineRule="auto"/>
        <w:ind w:firstLine="459"/>
        <w:jc w:val="left"/>
        <w:rPr>
          <w:rFonts w:ascii="宋体" w:hAnsi="宋体" w:cs="宋体"/>
          <w:szCs w:val="21"/>
        </w:rPr>
      </w:pPr>
      <w:r>
        <w:rPr>
          <w:rFonts w:hint="eastAsia" w:ascii="宋体" w:hAnsi="宋体" w:cs="宋体"/>
          <w:szCs w:val="21"/>
        </w:rPr>
        <w:t>计划竣工日期：年  月 日。</w:t>
      </w:r>
    </w:p>
    <w:p>
      <w:pPr>
        <w:snapToGrid w:val="0"/>
        <w:spacing w:line="360" w:lineRule="auto"/>
        <w:ind w:firstLine="459"/>
        <w:jc w:val="left"/>
        <w:rPr>
          <w:rFonts w:ascii="宋体" w:hAnsi="宋体" w:cs="宋体"/>
          <w:bCs/>
          <w:szCs w:val="21"/>
        </w:rPr>
      </w:pPr>
      <w:r>
        <w:rPr>
          <w:rFonts w:hint="eastAsia" w:ascii="宋体" w:hAnsi="宋体" w:cs="宋体"/>
          <w:szCs w:val="21"/>
        </w:rPr>
        <w:t>工期总日历天数： 天。</w:t>
      </w:r>
      <w:r>
        <w:rPr>
          <w:rFonts w:hint="eastAsia" w:ascii="宋体" w:hAnsi="宋体" w:cs="宋体"/>
          <w:bCs/>
          <w:szCs w:val="21"/>
        </w:rPr>
        <w:t>工期总日历天数与根据前述计划开竣工日期计算的工期天数不一致的，以工期总日历天数为准。</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本工程的所有工期均指日历天数，包括所有法定假期、休息日、冬雨季、暴风雨雪雾、高温、低温等天气延误的工作时间在内。</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工期承诺：本工程不计任何停工、窝工、误工及机械设备停置费用。乙方不得以任何原因或借口推卸延误工期的责任，除甲方原因和政府原因外不能要求顺延工期。</w:t>
      </w:r>
    </w:p>
    <w:p>
      <w:pPr>
        <w:spacing w:line="360" w:lineRule="auto"/>
        <w:ind w:firstLine="420" w:firstLineChars="200"/>
        <w:rPr>
          <w:rFonts w:ascii="宋体" w:hAnsi="宋体" w:cs="宋体"/>
          <w:szCs w:val="21"/>
        </w:rPr>
      </w:pPr>
      <w:r>
        <w:rPr>
          <w:rFonts w:hint="eastAsia" w:ascii="宋体" w:hAnsi="宋体" w:cs="宋体"/>
          <w:szCs w:val="21"/>
        </w:rPr>
        <w:t>为了保证项目总体工期目标要求，甲方根据工程的实际需要安排其他专业分包队伍穿插施工，乙方应服从甲方的总体布置和安排，乙方不得以此要求顺延工期和增加费用。如不服从甲方的协调产生的损失由乙方承担。</w:t>
      </w:r>
    </w:p>
    <w:p>
      <w:pPr>
        <w:pStyle w:val="3"/>
        <w:spacing w:before="0" w:after="0" w:line="360" w:lineRule="auto"/>
        <w:ind w:firstLine="482"/>
        <w:rPr>
          <w:rFonts w:ascii="宋体" w:hAnsi="宋体" w:cs="宋体"/>
          <w:sz w:val="21"/>
          <w:szCs w:val="21"/>
        </w:rPr>
      </w:pPr>
      <w:bookmarkStart w:id="217" w:name="_Toc384026354"/>
      <w:bookmarkStart w:id="218" w:name="_Toc383940880"/>
      <w:bookmarkStart w:id="219" w:name="_Toc384137525"/>
      <w:bookmarkStart w:id="220" w:name="_Toc389602799"/>
      <w:bookmarkStart w:id="221" w:name="_Toc389663456"/>
      <w:r>
        <w:rPr>
          <w:rFonts w:hint="eastAsia" w:ascii="宋体" w:hAnsi="宋体" w:cs="宋体"/>
          <w:sz w:val="21"/>
          <w:szCs w:val="21"/>
        </w:rPr>
        <w:t>三、</w:t>
      </w:r>
      <w:bookmarkEnd w:id="217"/>
      <w:bookmarkEnd w:id="218"/>
      <w:bookmarkEnd w:id="219"/>
      <w:r>
        <w:rPr>
          <w:rFonts w:hint="eastAsia" w:ascii="宋体" w:hAnsi="宋体" w:cs="宋体"/>
          <w:sz w:val="21"/>
          <w:szCs w:val="21"/>
        </w:rPr>
        <w:t>质量标准</w:t>
      </w:r>
      <w:bookmarkEnd w:id="220"/>
      <w:bookmarkEnd w:id="221"/>
    </w:p>
    <w:p>
      <w:pPr>
        <w:snapToGrid w:val="0"/>
        <w:spacing w:line="360" w:lineRule="auto"/>
        <w:ind w:firstLine="459"/>
        <w:rPr>
          <w:rFonts w:ascii="宋体" w:hAnsi="宋体" w:cs="宋体"/>
          <w:szCs w:val="21"/>
          <w:u w:val="single"/>
        </w:rPr>
      </w:pPr>
      <w:bookmarkStart w:id="222" w:name="_Toc389663457"/>
      <w:bookmarkStart w:id="223" w:name="_Toc384026355"/>
      <w:bookmarkStart w:id="224" w:name="_Toc383940881"/>
      <w:bookmarkStart w:id="225" w:name="_Toc389602800"/>
      <w:bookmarkStart w:id="226" w:name="_Toc384137526"/>
      <w:r>
        <w:rPr>
          <w:rFonts w:hint="eastAsia" w:ascii="宋体" w:hAnsi="宋体" w:cs="宋体"/>
          <w:szCs w:val="21"/>
        </w:rPr>
        <w:t>工程质量符合</w:t>
      </w:r>
      <w:r>
        <w:rPr>
          <w:rFonts w:hint="eastAsia" w:ascii="宋体" w:hAnsi="宋体" w:cs="宋体"/>
          <w:szCs w:val="21"/>
          <w:u w:val="single"/>
        </w:rPr>
        <w:t>国家和本地区现行的相关规范、规程、标准规定的质量合格标准，满足建设业主质量规程及标准</w:t>
      </w:r>
      <w:r>
        <w:rPr>
          <w:rFonts w:hint="eastAsia" w:ascii="宋体" w:hAnsi="宋体" w:cs="宋体"/>
          <w:szCs w:val="21"/>
        </w:rPr>
        <w:t>。</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因工程质量发生争议的，甲方有权单方委托有资质的工程质量检测机构进行鉴定，工程质量鉴定合格的，鉴定费用由甲方承担。工程质量鉴定不合格的，鉴定费用由乙方承担。</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甲方和业主委托的监理单位有权对工程质量进行检查和检验，但不免除乙方按本合同约定应负的责任。</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无论本工程移交与否，均不减轻或免除乙方依法律或合同规定所应承担的工程全面质量的责任。</w:t>
      </w:r>
    </w:p>
    <w:p>
      <w:pPr>
        <w:pStyle w:val="3"/>
        <w:spacing w:before="0" w:after="0" w:line="360" w:lineRule="auto"/>
        <w:ind w:firstLine="482"/>
        <w:rPr>
          <w:rFonts w:ascii="宋体" w:hAnsi="宋体" w:cs="宋体"/>
          <w:sz w:val="21"/>
          <w:szCs w:val="21"/>
        </w:rPr>
      </w:pPr>
      <w:r>
        <w:rPr>
          <w:rFonts w:hint="eastAsia" w:ascii="宋体" w:hAnsi="宋体" w:cs="宋体"/>
          <w:sz w:val="21"/>
          <w:szCs w:val="21"/>
        </w:rPr>
        <w:t>四、签约合同价</w:t>
      </w:r>
      <w:bookmarkEnd w:id="222"/>
      <w:bookmarkEnd w:id="223"/>
      <w:bookmarkEnd w:id="224"/>
      <w:bookmarkEnd w:id="225"/>
      <w:bookmarkEnd w:id="226"/>
      <w:r>
        <w:rPr>
          <w:rFonts w:hint="eastAsia" w:ascii="宋体" w:hAnsi="宋体" w:cs="宋体"/>
          <w:sz w:val="21"/>
          <w:szCs w:val="21"/>
        </w:rPr>
        <w:t>与合同价格形式</w:t>
      </w:r>
    </w:p>
    <w:p>
      <w:pPr>
        <w:snapToGrid w:val="0"/>
        <w:spacing w:line="360" w:lineRule="auto"/>
        <w:ind w:firstLine="420" w:firstLineChars="200"/>
        <w:rPr>
          <w:rFonts w:ascii="宋体" w:hAnsi="宋体" w:cs="宋体"/>
          <w:szCs w:val="21"/>
        </w:rPr>
      </w:pPr>
      <w:bookmarkStart w:id="227" w:name="_Toc389602801"/>
      <w:bookmarkStart w:id="228" w:name="_Toc389663458"/>
      <w:bookmarkStart w:id="229" w:name="_Toc383940882"/>
      <w:bookmarkStart w:id="230" w:name="_Toc384026356"/>
      <w:bookmarkStart w:id="231" w:name="_Toc384137527"/>
      <w:r>
        <w:rPr>
          <w:rFonts w:hint="eastAsia" w:ascii="宋体" w:hAnsi="宋体" w:cs="宋体"/>
          <w:szCs w:val="21"/>
        </w:rPr>
        <w:t>1.签约合同价为：</w:t>
      </w:r>
    </w:p>
    <w:p>
      <w:pPr>
        <w:spacing w:line="360" w:lineRule="exact"/>
        <w:ind w:firstLine="525" w:firstLineChars="250"/>
        <w:rPr>
          <w:rFonts w:ascii="宋体" w:hAnsi="宋体" w:cs="宋体"/>
          <w:szCs w:val="21"/>
        </w:rPr>
      </w:pPr>
      <w:r>
        <w:rPr>
          <w:rFonts w:hint="eastAsia" w:ascii="宋体" w:hAnsi="宋体" w:cs="宋体"/>
          <w:szCs w:val="21"/>
        </w:rPr>
        <w:t>暂定合同总价为：元，人民币（大写）：</w:t>
      </w:r>
      <w:r>
        <w:rPr>
          <w:rFonts w:hint="eastAsia" w:ascii="宋体" w:hAnsi="宋体" w:cs="宋体"/>
          <w:szCs w:val="21"/>
          <w:u w:val="single"/>
        </w:rPr>
        <w:t xml:space="preserve">     （其中安全文明施工费：   元，人民币（大写）   ）。</w:t>
      </w:r>
      <w:r>
        <w:rPr>
          <w:rFonts w:hint="eastAsia" w:ascii="宋体" w:hAnsi="宋体" w:cs="宋体"/>
          <w:szCs w:val="21"/>
        </w:rPr>
        <w:t>其中材料价款为元，开具增值税专用发票，安装价款为元，开具增值税专用发票。以上合同价是以乙方向甲方开具增值税专用发票税率</w:t>
      </w:r>
      <w:r>
        <w:rPr>
          <w:rFonts w:hint="eastAsia" w:ascii="宋体" w:hAnsi="宋体" w:cs="宋体"/>
          <w:b/>
          <w:bCs/>
          <w:kern w:val="0"/>
          <w:szCs w:val="21"/>
          <w:u w:val="single"/>
        </w:rPr>
        <w:t>（加工制作部分的增值税税率为：16%；安装部分增值税税率为：10%）</w:t>
      </w:r>
      <w:r>
        <w:rPr>
          <w:rFonts w:hint="eastAsia" w:ascii="宋体" w:hAnsi="宋体" w:cs="宋体"/>
          <w:szCs w:val="21"/>
        </w:rPr>
        <w:t>为准，若乙方开具的增值税专用发票税率低于</w:t>
      </w:r>
      <w:r>
        <w:rPr>
          <w:rFonts w:hint="eastAsia" w:ascii="宋体" w:hAnsi="宋体" w:cs="宋体"/>
          <w:szCs w:val="21"/>
          <w:u w:val="single"/>
        </w:rPr>
        <w:t>以上约定</w:t>
      </w:r>
      <w:r>
        <w:rPr>
          <w:rFonts w:hint="eastAsia" w:ascii="宋体" w:hAnsi="宋体" w:cs="宋体"/>
          <w:szCs w:val="21"/>
        </w:rPr>
        <w:t>，甲方可根据实际发票税率进行调价。</w:t>
      </w:r>
    </w:p>
    <w:p>
      <w:pPr>
        <w:snapToGrid w:val="0"/>
        <w:spacing w:line="360" w:lineRule="auto"/>
        <w:ind w:firstLine="420" w:firstLineChars="200"/>
        <w:rPr>
          <w:rFonts w:ascii="宋体" w:hAnsi="宋体" w:cs="宋体"/>
          <w:szCs w:val="21"/>
          <w:highlight w:val="yellow"/>
          <w:u w:val="single"/>
        </w:rPr>
      </w:pPr>
      <w:r>
        <w:rPr>
          <w:rFonts w:hint="eastAsia" w:ascii="宋体" w:hAnsi="宋体" w:cs="宋体"/>
          <w:szCs w:val="21"/>
          <w:highlight w:val="yellow"/>
        </w:rPr>
        <w:t>2.合同价格形式：</w:t>
      </w:r>
      <w:r>
        <w:rPr>
          <w:rFonts w:hint="eastAsia" w:ascii="宋体" w:hAnsi="宋体" w:cs="宋体"/>
          <w:szCs w:val="21"/>
          <w:highlight w:val="yellow"/>
          <w:u w:val="single"/>
        </w:rPr>
        <w:t>采用下浮的方式</w:t>
      </w:r>
      <w:r>
        <w:rPr>
          <w:rFonts w:hint="eastAsia" w:ascii="宋体" w:hAnsi="宋体" w:cs="宋体"/>
          <w:szCs w:val="21"/>
          <w:highlight w:val="yellow"/>
        </w:rPr>
        <w:t>。</w:t>
      </w:r>
    </w:p>
    <w:p>
      <w:pPr>
        <w:snapToGrid w:val="0"/>
        <w:spacing w:line="360" w:lineRule="auto"/>
        <w:ind w:firstLine="420" w:firstLineChars="200"/>
        <w:rPr>
          <w:rFonts w:ascii="宋体" w:hAnsi="宋体" w:cs="宋体"/>
          <w:bCs/>
          <w:szCs w:val="21"/>
        </w:rPr>
      </w:pPr>
      <w:r>
        <w:rPr>
          <w:rFonts w:hint="eastAsia" w:ascii="宋体" w:hAnsi="宋体" w:cs="宋体"/>
          <w:bCs/>
          <w:szCs w:val="21"/>
        </w:rPr>
        <w:t>所有地质条件、施工条件、价格、市场、政策、法规风险（包括政府部门的政策性调价、及因政府政策、法律变化对本工程产生强制约束力的风险等）已在包干单价中充分考虑，结算时综合单价不予调整。</w:t>
      </w:r>
    </w:p>
    <w:bookmarkEnd w:id="227"/>
    <w:bookmarkEnd w:id="228"/>
    <w:bookmarkEnd w:id="229"/>
    <w:bookmarkEnd w:id="230"/>
    <w:bookmarkEnd w:id="231"/>
    <w:p>
      <w:pPr>
        <w:adjustRightInd w:val="0"/>
        <w:snapToGrid w:val="0"/>
        <w:spacing w:line="360" w:lineRule="auto"/>
        <w:ind w:left="29" w:firstLine="424" w:firstLineChars="202"/>
        <w:rPr>
          <w:rFonts w:ascii="宋体" w:hAnsi="宋体" w:cs="宋体"/>
          <w:bCs/>
          <w:szCs w:val="21"/>
        </w:rPr>
      </w:pPr>
      <w:r>
        <w:rPr>
          <w:rFonts w:hint="eastAsia" w:ascii="宋体" w:hAnsi="宋体" w:cs="宋体"/>
          <w:bCs/>
          <w:szCs w:val="21"/>
        </w:rPr>
        <w:t>1）人工费、材料费、机械费、措施费、企业管理费、利润、风险费、安全文明施工费、资料</w:t>
      </w:r>
      <w:r>
        <w:rPr>
          <w:rFonts w:ascii="宋体" w:hAnsi="宋体" w:cs="宋体"/>
          <w:bCs/>
          <w:szCs w:val="21"/>
        </w:rPr>
        <w:t>费、</w:t>
      </w:r>
      <w:r>
        <w:rPr>
          <w:rFonts w:hint="eastAsia" w:ascii="宋体" w:hAnsi="宋体" w:cs="宋体"/>
          <w:bCs/>
          <w:szCs w:val="21"/>
        </w:rPr>
        <w:t>规费、税金等所有费用，配合安装墙面屋面开洞费用、图纸深化设计费、施工技术措施费（含脚手架费）、机械进出场费、二次（及多次）搬运费、材料上下车费、钢结构专项验收费等在报价人填报的下浮费率中均已考虑。</w:t>
      </w:r>
    </w:p>
    <w:p>
      <w:pPr>
        <w:adjustRightInd w:val="0"/>
        <w:snapToGrid w:val="0"/>
        <w:spacing w:line="360" w:lineRule="auto"/>
        <w:ind w:firstLine="420" w:firstLineChars="200"/>
        <w:outlineLvl w:val="0"/>
        <w:rPr>
          <w:rFonts w:ascii="宋体" w:hAnsi="宋体" w:cs="宋体"/>
          <w:bCs/>
          <w:szCs w:val="21"/>
        </w:rPr>
      </w:pPr>
      <w:r>
        <w:rPr>
          <w:rFonts w:hint="eastAsia" w:ascii="宋体" w:hAnsi="宋体" w:cs="宋体"/>
          <w:bCs/>
          <w:szCs w:val="21"/>
        </w:rPr>
        <w:t>2）施工期间因政府收费文件及政策调整导致费用增减，市场行情引起的材料价格变化以及汇率波动而引起的费用增减、承包人均已事先估计并列入报价之中，费率下浮值不会因上述因素变动而调整，工程竣工结算时不论工程量如何变化，费率下浮值均不作调整；</w:t>
      </w:r>
    </w:p>
    <w:p>
      <w:pPr>
        <w:adjustRightInd w:val="0"/>
        <w:snapToGrid w:val="0"/>
        <w:spacing w:line="360" w:lineRule="auto"/>
        <w:ind w:firstLine="420" w:firstLineChars="200"/>
        <w:outlineLvl w:val="0"/>
        <w:rPr>
          <w:rFonts w:ascii="宋体" w:hAnsi="宋体" w:cs="宋体"/>
          <w:bCs/>
          <w:szCs w:val="21"/>
        </w:rPr>
      </w:pPr>
      <w:r>
        <w:rPr>
          <w:rFonts w:hint="eastAsia" w:ascii="宋体" w:hAnsi="宋体" w:cs="宋体"/>
          <w:bCs/>
          <w:szCs w:val="21"/>
        </w:rPr>
        <w:t>3）在渝建发〔2014〕25号文中描述的安全文明施工、环境保护、临时设施等所有钢结构工程涉及到的相关费用，均按该文计算，包含各分包单位之间无法界定的垃圾清运，安全文明日常维护等费用。</w:t>
      </w:r>
    </w:p>
    <w:p>
      <w:pPr>
        <w:pStyle w:val="3"/>
        <w:spacing w:before="0" w:after="0" w:line="360" w:lineRule="auto"/>
        <w:ind w:firstLine="482"/>
        <w:rPr>
          <w:rFonts w:ascii="宋体" w:hAnsi="宋体" w:cs="宋体"/>
          <w:sz w:val="21"/>
          <w:szCs w:val="21"/>
        </w:rPr>
      </w:pPr>
      <w:r>
        <w:rPr>
          <w:rFonts w:hint="eastAsia" w:ascii="宋体" w:hAnsi="宋体" w:cs="宋体"/>
          <w:sz w:val="21"/>
          <w:szCs w:val="21"/>
        </w:rPr>
        <w:t>五</w:t>
      </w:r>
      <w:bookmarkStart w:id="232" w:name="_Toc351203486"/>
      <w:r>
        <w:rPr>
          <w:rFonts w:hint="eastAsia" w:ascii="宋体" w:hAnsi="宋体" w:cs="宋体"/>
          <w:sz w:val="21"/>
          <w:szCs w:val="21"/>
        </w:rPr>
        <w:t>、合同文件</w:t>
      </w:r>
      <w:bookmarkEnd w:id="232"/>
      <w:r>
        <w:rPr>
          <w:rFonts w:hint="eastAsia" w:ascii="宋体" w:hAnsi="宋体" w:cs="宋体"/>
          <w:sz w:val="21"/>
          <w:szCs w:val="21"/>
        </w:rPr>
        <w:t>及解释顺序</w:t>
      </w:r>
    </w:p>
    <w:p>
      <w:pPr>
        <w:snapToGrid w:val="0"/>
        <w:spacing w:line="360" w:lineRule="auto"/>
        <w:ind w:firstLine="420" w:firstLineChars="200"/>
        <w:rPr>
          <w:rFonts w:ascii="宋体" w:hAnsi="宋体" w:cs="宋体"/>
          <w:bCs/>
          <w:szCs w:val="21"/>
        </w:rPr>
      </w:pPr>
      <w:r>
        <w:rPr>
          <w:rFonts w:hint="eastAsia" w:ascii="宋体" w:hAnsi="宋体" w:cs="宋体"/>
          <w:bCs/>
          <w:szCs w:val="21"/>
        </w:rPr>
        <w:t xml:space="preserve"> 本协议书与下列文件一起构成合同文件：</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（1）合同协议书；</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（2）中标通知书；</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（3）专用合同条款及其附件；</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（4）通用合同条款；</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（5）技术标准和要求；</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（6）图纸；</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（7）已标价工程量清单或预算书；</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（8）招标文件；</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（9）其他合同文件。</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在合同订立及履行过程中形成的与合同有关的文件均构成合同文件组成部分。</w:t>
      </w:r>
    </w:p>
    <w:p>
      <w:pPr>
        <w:autoSpaceDE w:val="0"/>
        <w:autoSpaceDN w:val="0"/>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w:t>
      </w:r>
    </w:p>
    <w:p>
      <w:pPr>
        <w:pStyle w:val="3"/>
        <w:spacing w:before="0" w:after="0" w:line="360" w:lineRule="auto"/>
        <w:ind w:firstLine="482"/>
        <w:rPr>
          <w:rFonts w:ascii="宋体" w:hAnsi="宋体" w:cs="宋体"/>
          <w:sz w:val="21"/>
          <w:szCs w:val="21"/>
        </w:rPr>
      </w:pPr>
      <w:bookmarkStart w:id="233" w:name="_Toc351203487"/>
      <w:r>
        <w:rPr>
          <w:rFonts w:hint="eastAsia" w:ascii="宋体" w:hAnsi="宋体" w:cs="宋体"/>
          <w:sz w:val="21"/>
          <w:szCs w:val="21"/>
        </w:rPr>
        <w:t>六、承诺</w:t>
      </w:r>
      <w:bookmarkEnd w:id="233"/>
    </w:p>
    <w:p>
      <w:pPr>
        <w:adjustRightInd w:val="0"/>
        <w:snapToGrid w:val="0"/>
        <w:spacing w:line="360" w:lineRule="auto"/>
        <w:ind w:firstLine="420" w:firstLineChars="200"/>
        <w:rPr>
          <w:rFonts w:ascii="宋体" w:hAnsi="宋体" w:cs="宋体"/>
          <w:bCs/>
          <w:szCs w:val="21"/>
        </w:rPr>
      </w:pPr>
      <w:bookmarkStart w:id="234" w:name="_Toc384137530"/>
      <w:bookmarkStart w:id="235" w:name="_Toc389602804"/>
      <w:bookmarkStart w:id="236" w:name="_Toc383940885"/>
      <w:bookmarkStart w:id="237" w:name="_Toc384026359"/>
      <w:bookmarkStart w:id="238" w:name="_Toc389663461"/>
      <w:r>
        <w:rPr>
          <w:rFonts w:hint="eastAsia" w:ascii="宋体" w:hAnsi="宋体" w:cs="宋体"/>
          <w:bCs/>
          <w:szCs w:val="21"/>
        </w:rPr>
        <w:t>1. 发包人承诺按照分包合同约定的期限和方式支付合同价款。</w:t>
      </w:r>
    </w:p>
    <w:p>
      <w:pPr>
        <w:adjustRightInd w:val="0"/>
        <w:snapToGrid w:val="0"/>
        <w:spacing w:line="360" w:lineRule="auto"/>
        <w:ind w:firstLine="420" w:firstLineChars="200"/>
        <w:rPr>
          <w:rFonts w:ascii="宋体" w:hAnsi="宋体" w:cs="宋体"/>
          <w:bCs/>
          <w:szCs w:val="21"/>
        </w:rPr>
      </w:pPr>
      <w:r>
        <w:rPr>
          <w:rFonts w:hint="eastAsia" w:ascii="宋体" w:hAnsi="宋体" w:cs="宋体"/>
          <w:bCs/>
          <w:szCs w:val="21"/>
        </w:rPr>
        <w:t>2. 承包人承诺按照法律规定及分包合同约定完成分包工程施工，确保工程质量和安全，不进行转包及违法分包，并在缺陷责任期及保修期内履行分包工程维修义务。</w:t>
      </w:r>
    </w:p>
    <w:p>
      <w:pPr>
        <w:adjustRightInd w:val="0"/>
        <w:snapToGrid w:val="0"/>
        <w:spacing w:line="360" w:lineRule="auto"/>
        <w:rPr>
          <w:rFonts w:ascii="宋体" w:hAnsi="宋体" w:cs="宋体"/>
          <w:bCs/>
          <w:szCs w:val="21"/>
        </w:rPr>
      </w:pPr>
      <w:r>
        <w:rPr>
          <w:rFonts w:hint="eastAsia" w:ascii="宋体" w:hAnsi="宋体" w:cs="宋体"/>
          <w:bCs/>
          <w:szCs w:val="21"/>
        </w:rPr>
        <w:t xml:space="preserve">    3. 承包人承诺履行总包合同中与分包工程有关的发包人的所有义务，但分包合同明确约定应由发包人履行的义务除外。承包人承诺就分包工程质量和安全与向业主承担全部责任。</w:t>
      </w:r>
    </w:p>
    <w:p>
      <w:pPr>
        <w:adjustRightInd w:val="0"/>
        <w:snapToGrid w:val="0"/>
        <w:spacing w:line="360" w:lineRule="auto"/>
        <w:ind w:firstLine="420" w:firstLineChars="200"/>
        <w:rPr>
          <w:rFonts w:ascii="宋体" w:hAnsi="宋体" w:cs="宋体"/>
          <w:bCs/>
          <w:szCs w:val="21"/>
        </w:rPr>
      </w:pPr>
      <w:r>
        <w:rPr>
          <w:rFonts w:hint="eastAsia" w:ascii="宋体" w:hAnsi="宋体" w:cs="宋体"/>
          <w:bCs/>
          <w:szCs w:val="21"/>
        </w:rPr>
        <w:t>4. 合同当事人通过招投标形式签订分包合同的，双方理解并承诺不再另行签订与分包合同实质性内容相背离的合同。</w:t>
      </w:r>
    </w:p>
    <w:p>
      <w:pPr>
        <w:pStyle w:val="3"/>
        <w:spacing w:before="0" w:after="0" w:line="360" w:lineRule="auto"/>
        <w:ind w:firstLine="482"/>
        <w:rPr>
          <w:rFonts w:ascii="宋体" w:hAnsi="宋体" w:cs="宋体"/>
          <w:sz w:val="21"/>
          <w:szCs w:val="21"/>
        </w:rPr>
      </w:pPr>
      <w:r>
        <w:rPr>
          <w:rFonts w:hint="eastAsia" w:ascii="宋体" w:hAnsi="宋体" w:cs="宋体"/>
          <w:sz w:val="21"/>
          <w:szCs w:val="21"/>
        </w:rPr>
        <w:t>七、</w:t>
      </w:r>
      <w:bookmarkEnd w:id="234"/>
      <w:bookmarkEnd w:id="235"/>
      <w:bookmarkEnd w:id="236"/>
      <w:bookmarkEnd w:id="237"/>
      <w:bookmarkEnd w:id="238"/>
      <w:r>
        <w:rPr>
          <w:rFonts w:hint="eastAsia" w:ascii="宋体" w:hAnsi="宋体" w:cs="宋体"/>
          <w:sz w:val="21"/>
          <w:szCs w:val="21"/>
        </w:rPr>
        <w:t xml:space="preserve">其他 </w:t>
      </w:r>
    </w:p>
    <w:p>
      <w:pPr>
        <w:snapToGrid w:val="0"/>
        <w:spacing w:line="440" w:lineRule="exact"/>
        <w:ind w:firstLine="420" w:firstLineChars="200"/>
        <w:rPr>
          <w:rFonts w:ascii="宋体" w:hAnsi="宋体" w:cs="宋体"/>
          <w:szCs w:val="21"/>
          <w:u w:val="single"/>
        </w:rPr>
      </w:pPr>
      <w:r>
        <w:rPr>
          <w:rFonts w:hint="eastAsia" w:ascii="宋体" w:hAnsi="宋体" w:cs="宋体"/>
          <w:szCs w:val="21"/>
        </w:rPr>
        <w:t>1、合同订立时间：</w:t>
      </w:r>
      <w:r>
        <w:rPr>
          <w:rFonts w:hint="eastAsia" w:ascii="宋体" w:hAnsi="宋体" w:cs="宋体"/>
          <w:szCs w:val="21"/>
          <w:u w:val="single"/>
        </w:rPr>
        <w:t xml:space="preserve">   年    月    日</w:t>
      </w:r>
    </w:p>
    <w:p>
      <w:pPr>
        <w:snapToGrid w:val="0"/>
        <w:spacing w:line="440" w:lineRule="exact"/>
        <w:ind w:firstLine="420" w:firstLineChars="200"/>
        <w:rPr>
          <w:rFonts w:ascii="宋体" w:hAnsi="宋体" w:cs="宋体"/>
          <w:szCs w:val="21"/>
          <w:u w:val="single"/>
        </w:rPr>
      </w:pPr>
      <w:r>
        <w:rPr>
          <w:rFonts w:hint="eastAsia" w:ascii="宋体" w:hAnsi="宋体" w:cs="宋体"/>
          <w:szCs w:val="21"/>
        </w:rPr>
        <w:t>2、合同订立地点：</w:t>
      </w:r>
      <w:r>
        <w:rPr>
          <w:rFonts w:hint="eastAsia" w:ascii="宋体" w:hAnsi="宋体" w:cs="宋体"/>
          <w:szCs w:val="21"/>
          <w:u w:val="single"/>
        </w:rPr>
        <w:t>中机中联工程有限公司</w:t>
      </w:r>
    </w:p>
    <w:p>
      <w:pPr>
        <w:snapToGrid w:val="0"/>
        <w:spacing w:line="440" w:lineRule="exact"/>
        <w:ind w:firstLine="420" w:firstLineChars="200"/>
        <w:rPr>
          <w:rFonts w:ascii="宋体" w:hAnsi="宋体" w:cs="宋体"/>
          <w:bCs/>
          <w:szCs w:val="21"/>
          <w:u w:val="single"/>
        </w:rPr>
      </w:pPr>
      <w:r>
        <w:rPr>
          <w:rFonts w:hint="eastAsia" w:ascii="宋体" w:hAnsi="宋体" w:cs="宋体"/>
          <w:szCs w:val="21"/>
        </w:rPr>
        <w:t>3、本合同自</w:t>
      </w:r>
      <w:r>
        <w:rPr>
          <w:rFonts w:hint="eastAsia" w:ascii="宋体" w:hAnsi="宋体" w:cs="宋体"/>
          <w:b/>
          <w:szCs w:val="21"/>
          <w:u w:val="single"/>
        </w:rPr>
        <w:t>双方签字盖章并加盖骑缝章，且甲方收到乙方缴纳履约担保后生效</w:t>
      </w:r>
      <w:r>
        <w:rPr>
          <w:rFonts w:hint="eastAsia" w:ascii="宋体" w:hAnsi="宋体" w:cs="宋体"/>
          <w:b/>
          <w:szCs w:val="21"/>
        </w:rPr>
        <w:t>。</w:t>
      </w:r>
      <w:r>
        <w:rPr>
          <w:rFonts w:hint="eastAsia" w:ascii="宋体" w:hAnsi="宋体" w:cs="宋体"/>
          <w:bCs/>
          <w:szCs w:val="21"/>
          <w:u w:val="single"/>
        </w:rPr>
        <w:t>至乙方全部完成合同约定的施工内容，将有关资料全部移交甲方，且保修期限届满，甲方付清全部工程款，双方确认无待解决事项后合同自行终止。</w:t>
      </w:r>
    </w:p>
    <w:p>
      <w:pPr>
        <w:snapToGrid w:val="0"/>
        <w:spacing w:line="440" w:lineRule="exact"/>
        <w:ind w:firstLine="420" w:firstLineChars="200"/>
        <w:rPr>
          <w:rFonts w:ascii="宋体" w:hAnsi="宋体" w:cs="宋体"/>
          <w:bCs/>
          <w:iCs/>
          <w:szCs w:val="21"/>
        </w:rPr>
      </w:pPr>
      <w:r>
        <w:rPr>
          <w:rFonts w:hint="eastAsia" w:ascii="宋体" w:hAnsi="宋体" w:cs="宋体"/>
          <w:szCs w:val="21"/>
        </w:rPr>
        <w:t>4、本合同一式</w:t>
      </w:r>
      <w:r>
        <w:rPr>
          <w:rFonts w:hint="eastAsia" w:ascii="宋体" w:hAnsi="宋体" w:cs="宋体"/>
          <w:szCs w:val="21"/>
          <w:u w:val="single"/>
        </w:rPr>
        <w:t xml:space="preserve">  5  </w:t>
      </w:r>
      <w:r>
        <w:rPr>
          <w:rFonts w:hint="eastAsia" w:ascii="宋体" w:hAnsi="宋体" w:cs="宋体"/>
          <w:szCs w:val="21"/>
        </w:rPr>
        <w:t>份，具有同等法律效力，甲方执</w:t>
      </w:r>
      <w:r>
        <w:rPr>
          <w:rFonts w:hint="eastAsia" w:ascii="宋体" w:hAnsi="宋体" w:cs="宋体"/>
          <w:szCs w:val="21"/>
          <w:u w:val="single"/>
        </w:rPr>
        <w:t xml:space="preserve">  4  </w:t>
      </w:r>
      <w:r>
        <w:rPr>
          <w:rFonts w:hint="eastAsia" w:ascii="宋体" w:hAnsi="宋体" w:cs="宋体"/>
          <w:szCs w:val="21"/>
        </w:rPr>
        <w:t>份，乙方执</w:t>
      </w:r>
      <w:r>
        <w:rPr>
          <w:rFonts w:hint="eastAsia" w:ascii="宋体" w:hAnsi="宋体" w:cs="宋体"/>
          <w:szCs w:val="21"/>
          <w:u w:val="single"/>
        </w:rPr>
        <w:t xml:space="preserve">  1  </w:t>
      </w:r>
      <w:r>
        <w:rPr>
          <w:rFonts w:hint="eastAsia" w:ascii="宋体" w:hAnsi="宋体" w:cs="宋体"/>
          <w:szCs w:val="21"/>
        </w:rPr>
        <w:t>份</w:t>
      </w:r>
      <w:r>
        <w:rPr>
          <w:rFonts w:hint="eastAsia" w:ascii="宋体" w:hAnsi="宋体" w:cs="宋体"/>
          <w:bCs/>
          <w:iCs/>
          <w:szCs w:val="21"/>
        </w:rPr>
        <w:t>。</w:t>
      </w:r>
    </w:p>
    <w:p>
      <w:pPr>
        <w:spacing w:line="440" w:lineRule="exact"/>
        <w:ind w:firstLine="420" w:firstLineChars="200"/>
        <w:rPr>
          <w:rFonts w:ascii="宋体" w:hAnsi="宋体" w:cs="宋体"/>
          <w:bCs/>
          <w:iCs/>
          <w:szCs w:val="21"/>
        </w:rPr>
      </w:pPr>
      <w:r>
        <w:rPr>
          <w:rFonts w:hint="eastAsia" w:ascii="宋体" w:hAnsi="宋体" w:cs="宋体"/>
          <w:bCs/>
          <w:iCs/>
          <w:szCs w:val="21"/>
        </w:rPr>
        <w:t>5、本合同未尽事项，可由双方约定后签订补充协议，补充协议与本合同具有同等效力。</w:t>
      </w:r>
    </w:p>
    <w:p>
      <w:pPr>
        <w:adjustRightInd w:val="0"/>
        <w:snapToGrid w:val="0"/>
        <w:spacing w:line="360" w:lineRule="auto"/>
        <w:rPr>
          <w:rFonts w:ascii="宋体" w:hAnsi="宋体" w:cs="宋体"/>
          <w:szCs w:val="21"/>
        </w:rPr>
      </w:pPr>
    </w:p>
    <w:p>
      <w:pPr>
        <w:adjustRightInd w:val="0"/>
        <w:snapToGrid w:val="0"/>
        <w:spacing w:line="360" w:lineRule="auto"/>
        <w:rPr>
          <w:rFonts w:ascii="宋体" w:hAnsi="宋体" w:cs="宋体"/>
          <w:szCs w:val="21"/>
        </w:rPr>
      </w:pPr>
      <w:r>
        <w:rPr>
          <w:rFonts w:hint="eastAsia" w:ascii="宋体" w:hAnsi="宋体" w:cs="宋体"/>
          <w:szCs w:val="21"/>
        </w:rPr>
        <w:t>发包人: (盖章)                      承包人: (盖章)</w:t>
      </w:r>
    </w:p>
    <w:p>
      <w:pPr>
        <w:adjustRightInd w:val="0"/>
        <w:snapToGrid w:val="0"/>
        <w:spacing w:line="360" w:lineRule="auto"/>
        <w:rPr>
          <w:rFonts w:ascii="宋体" w:hAnsi="宋体" w:cs="宋体"/>
          <w:szCs w:val="21"/>
        </w:rPr>
      </w:pPr>
      <w:r>
        <w:rPr>
          <w:rFonts w:hint="eastAsia" w:ascii="宋体" w:hAnsi="宋体" w:cs="宋体"/>
          <w:szCs w:val="21"/>
        </w:rPr>
        <w:t xml:space="preserve">中机中联工程有限公司                     </w:t>
      </w:r>
    </w:p>
    <w:p>
      <w:pPr>
        <w:adjustRightInd w:val="0"/>
        <w:snapToGrid w:val="0"/>
        <w:spacing w:line="360" w:lineRule="auto"/>
        <w:rPr>
          <w:rFonts w:ascii="宋体" w:hAnsi="宋体" w:cs="宋体"/>
          <w:szCs w:val="21"/>
        </w:rPr>
      </w:pPr>
      <w:r>
        <w:rPr>
          <w:rFonts w:hint="eastAsia" w:ascii="宋体" w:hAnsi="宋体" w:cs="宋体"/>
          <w:szCs w:val="21"/>
        </w:rPr>
        <w:t>经办人：</w:t>
      </w:r>
    </w:p>
    <w:p>
      <w:pPr>
        <w:adjustRightInd w:val="0"/>
        <w:snapToGrid w:val="0"/>
        <w:spacing w:line="360" w:lineRule="auto"/>
        <w:rPr>
          <w:rFonts w:ascii="宋体" w:hAnsi="宋体" w:cs="宋体"/>
          <w:szCs w:val="21"/>
        </w:rPr>
      </w:pPr>
      <w:r>
        <w:rPr>
          <w:rFonts w:hint="eastAsia" w:ascii="宋体" w:hAnsi="宋体" w:cs="宋体"/>
          <w:szCs w:val="21"/>
        </w:rPr>
        <w:t>法定代表人                        法定代表人</w:t>
      </w:r>
    </w:p>
    <w:p>
      <w:pPr>
        <w:adjustRightInd w:val="0"/>
        <w:snapToGrid w:val="0"/>
        <w:spacing w:line="360" w:lineRule="auto"/>
        <w:rPr>
          <w:rFonts w:ascii="宋体" w:hAnsi="宋体" w:cs="宋体"/>
          <w:szCs w:val="21"/>
        </w:rPr>
      </w:pPr>
      <w:r>
        <w:rPr>
          <w:rFonts w:hint="eastAsia" w:ascii="宋体" w:hAnsi="宋体" w:cs="宋体"/>
          <w:szCs w:val="21"/>
        </w:rPr>
        <w:t>或其委托代理人（签字）：           或其委托代理人（签字）：</w:t>
      </w:r>
    </w:p>
    <w:p>
      <w:pPr>
        <w:adjustRightInd w:val="0"/>
        <w:snapToGrid w:val="0"/>
        <w:spacing w:line="360" w:lineRule="auto"/>
        <w:rPr>
          <w:rFonts w:ascii="宋体" w:hAnsi="宋体" w:cs="宋体"/>
          <w:szCs w:val="21"/>
        </w:rPr>
      </w:pPr>
      <w:r>
        <w:rPr>
          <w:rFonts w:hint="eastAsia" w:ascii="宋体" w:hAnsi="宋体" w:cs="宋体"/>
          <w:szCs w:val="21"/>
        </w:rPr>
        <w:t>开户行: 中国建设银行股份有限公司  开户行: 重庆九龙坡石桥铺支行</w:t>
      </w:r>
    </w:p>
    <w:p>
      <w:pPr>
        <w:adjustRightInd w:val="0"/>
        <w:snapToGrid w:val="0"/>
        <w:spacing w:line="360" w:lineRule="auto"/>
        <w:rPr>
          <w:rFonts w:ascii="宋体" w:hAnsi="宋体" w:cs="宋体"/>
          <w:szCs w:val="21"/>
        </w:rPr>
      </w:pPr>
      <w:r>
        <w:rPr>
          <w:rFonts w:hint="eastAsia" w:ascii="宋体" w:hAnsi="宋体" w:cs="宋体"/>
          <w:szCs w:val="21"/>
        </w:rPr>
        <w:t>账号：50001045000059888888        账号：</w:t>
      </w:r>
    </w:p>
    <w:p>
      <w:pPr>
        <w:adjustRightInd w:val="0"/>
        <w:snapToGrid w:val="0"/>
        <w:spacing w:line="360" w:lineRule="auto"/>
        <w:rPr>
          <w:rFonts w:ascii="宋体" w:hAnsi="宋体" w:cs="宋体"/>
          <w:szCs w:val="21"/>
        </w:rPr>
      </w:pPr>
    </w:p>
    <w:p>
      <w:pPr>
        <w:spacing w:line="420" w:lineRule="exact"/>
        <w:ind w:firstLine="360" w:firstLineChars="150"/>
        <w:outlineLvl w:val="1"/>
        <w:rPr>
          <w:rFonts w:ascii="宋体" w:hAnsi="宋体" w:cs="宋体"/>
          <w:snapToGrid w:val="0"/>
          <w:kern w:val="0"/>
          <w:sz w:val="24"/>
          <w:u w:val="single"/>
        </w:rPr>
      </w:pPr>
      <w:r>
        <w:rPr>
          <w:rFonts w:hint="eastAsia" w:ascii="宋体" w:hAnsi="宋体" w:cs="宋体"/>
          <w:sz w:val="24"/>
        </w:rPr>
        <w:br w:type="page"/>
      </w:r>
    </w:p>
    <w:p>
      <w:pPr>
        <w:pStyle w:val="3"/>
        <w:ind w:firstLine="2570" w:firstLineChars="800"/>
        <w:rPr>
          <w:rFonts w:ascii="宋体" w:hAnsi="宋体" w:cs="宋体"/>
        </w:rPr>
      </w:pPr>
      <w:bookmarkStart w:id="239" w:name="_Toc321436123"/>
      <w:bookmarkStart w:id="240" w:name="_Toc389586419"/>
      <w:bookmarkStart w:id="241" w:name="_Toc351203652"/>
      <w:r>
        <w:rPr>
          <w:rFonts w:hint="eastAsia" w:ascii="宋体" w:hAnsi="宋体" w:cs="宋体"/>
        </w:rPr>
        <w:t>第二部分 通用合同条款</w:t>
      </w:r>
      <w:bookmarkEnd w:id="239"/>
    </w:p>
    <w:p>
      <w:pPr>
        <w:jc w:val="center"/>
        <w:rPr>
          <w:b/>
          <w:sz w:val="20"/>
        </w:rPr>
      </w:pPr>
      <w:r>
        <w:rPr>
          <w:rFonts w:hint="eastAsia"/>
          <w:b/>
          <w:sz w:val="22"/>
        </w:rPr>
        <w:t>（采用中华人民共和国住房和城乡建设部</w:t>
      </w:r>
      <w:r>
        <w:rPr>
          <w:b/>
          <w:sz w:val="22"/>
        </w:rPr>
        <w:t>2014</w:t>
      </w:r>
      <w:r>
        <w:rPr>
          <w:rFonts w:hint="eastAsia"/>
          <w:b/>
          <w:sz w:val="22"/>
        </w:rPr>
        <w:t>年发《建设工程施工专业分包合同（示范文本）》通用合同条款）</w:t>
      </w:r>
    </w:p>
    <w:p/>
    <w:p>
      <w:pPr>
        <w:pStyle w:val="5"/>
        <w:spacing w:line="360" w:lineRule="auto"/>
        <w:rPr>
          <w:rFonts w:cs="宋体"/>
          <w:szCs w:val="21"/>
        </w:rPr>
      </w:pPr>
      <w:r>
        <w:rPr>
          <w:rFonts w:hint="eastAsia" w:cs="宋体"/>
          <w:szCs w:val="20"/>
        </w:rPr>
        <w:t>　</w:t>
      </w:r>
    </w:p>
    <w:p>
      <w:pPr>
        <w:spacing w:line="360" w:lineRule="auto"/>
        <w:rPr>
          <w:rFonts w:ascii="宋体" w:hAnsi="宋体" w:cs="宋体"/>
          <w:b/>
          <w:sz w:val="32"/>
          <w:szCs w:val="32"/>
        </w:rPr>
      </w:pPr>
      <w:r>
        <w:rPr>
          <w:rFonts w:hint="eastAsia" w:ascii="宋体" w:hAnsi="宋体" w:cs="宋体"/>
          <w:kern w:val="0"/>
          <w:szCs w:val="21"/>
        </w:rPr>
        <w:br w:type="page"/>
      </w:r>
    </w:p>
    <w:p>
      <w:pPr>
        <w:pStyle w:val="3"/>
        <w:jc w:val="center"/>
        <w:rPr>
          <w:rFonts w:ascii="宋体" w:hAnsi="宋体" w:cs="宋体"/>
        </w:rPr>
      </w:pPr>
      <w:r>
        <w:rPr>
          <w:rFonts w:hint="eastAsia" w:ascii="宋体" w:hAnsi="宋体" w:cs="宋体"/>
        </w:rPr>
        <w:t>第三部分 专用合同条款</w:t>
      </w:r>
    </w:p>
    <w:p>
      <w:pPr>
        <w:spacing w:line="360" w:lineRule="auto"/>
        <w:jc w:val="left"/>
        <w:rPr>
          <w:rFonts w:ascii="宋体" w:hAnsi="宋体" w:cs="宋体"/>
          <w:b/>
          <w:szCs w:val="21"/>
        </w:rPr>
      </w:pPr>
      <w:bookmarkStart w:id="242" w:name="招标文件04章合同条款及格式02_01"/>
      <w:bookmarkEnd w:id="242"/>
      <w:bookmarkStart w:id="243" w:name="_Toc351203633"/>
      <w:r>
        <w:rPr>
          <w:rFonts w:hint="eastAsia" w:ascii="宋体" w:hAnsi="宋体" w:cs="宋体"/>
          <w:szCs w:val="21"/>
        </w:rPr>
        <w:t>1</w:t>
      </w:r>
      <w:bookmarkStart w:id="244" w:name="_Toc297120456"/>
      <w:bookmarkStart w:id="245" w:name="_Toc296891196"/>
      <w:bookmarkStart w:id="246" w:name="_Toc292559866"/>
      <w:bookmarkStart w:id="247" w:name="_Toc296944495"/>
      <w:bookmarkStart w:id="248" w:name="_Toc296890984"/>
      <w:bookmarkStart w:id="249" w:name="_Toc296346657"/>
      <w:bookmarkStart w:id="250" w:name="_Toc297048342"/>
      <w:bookmarkStart w:id="251" w:name="_Toc292559361"/>
      <w:bookmarkStart w:id="252" w:name="_Toc296347155"/>
      <w:bookmarkStart w:id="253" w:name="_Toc296503156"/>
      <w:r>
        <w:rPr>
          <w:rFonts w:hint="eastAsia" w:ascii="宋体" w:hAnsi="宋体" w:cs="宋体"/>
          <w:szCs w:val="21"/>
        </w:rPr>
        <w:t>. 一般约定</w:t>
      </w:r>
      <w:bookmarkEnd w:id="243"/>
    </w:p>
    <w:bookmarkEnd w:id="244"/>
    <w:bookmarkEnd w:id="245"/>
    <w:bookmarkEnd w:id="246"/>
    <w:bookmarkEnd w:id="247"/>
    <w:bookmarkEnd w:id="248"/>
    <w:bookmarkEnd w:id="249"/>
    <w:bookmarkEnd w:id="250"/>
    <w:bookmarkEnd w:id="251"/>
    <w:bookmarkEnd w:id="252"/>
    <w:bookmarkEnd w:id="253"/>
    <w:p>
      <w:pPr>
        <w:spacing w:line="360" w:lineRule="auto"/>
        <w:jc w:val="left"/>
        <w:rPr>
          <w:rFonts w:ascii="宋体" w:hAnsi="宋体" w:cs="宋体"/>
          <w:szCs w:val="21"/>
        </w:rPr>
      </w:pPr>
      <w:r>
        <w:rPr>
          <w:rFonts w:hint="eastAsia" w:ascii="宋体" w:hAnsi="宋体" w:cs="宋体"/>
          <w:szCs w:val="21"/>
        </w:rPr>
        <w:t>1.1 词语定义</w:t>
      </w:r>
    </w:p>
    <w:p>
      <w:pPr>
        <w:spacing w:line="360" w:lineRule="auto"/>
        <w:jc w:val="left"/>
        <w:rPr>
          <w:rFonts w:ascii="宋体" w:hAnsi="宋体" w:cs="宋体"/>
          <w:kern w:val="0"/>
          <w:szCs w:val="21"/>
        </w:rPr>
      </w:pPr>
      <w:r>
        <w:rPr>
          <w:rFonts w:hint="eastAsia" w:ascii="宋体" w:hAnsi="宋体" w:cs="宋体"/>
          <w:kern w:val="0"/>
          <w:szCs w:val="21"/>
        </w:rPr>
        <w:t>1.1.1合同</w:t>
      </w:r>
    </w:p>
    <w:p>
      <w:pPr>
        <w:spacing w:line="360" w:lineRule="auto"/>
        <w:jc w:val="left"/>
        <w:rPr>
          <w:rFonts w:ascii="宋体" w:hAnsi="宋体" w:cs="宋体"/>
          <w:kern w:val="0"/>
          <w:szCs w:val="21"/>
        </w:rPr>
      </w:pPr>
      <w:r>
        <w:rPr>
          <w:rFonts w:hint="eastAsia" w:ascii="宋体" w:hAnsi="宋体" w:cs="宋体"/>
          <w:kern w:val="0"/>
          <w:szCs w:val="21"/>
        </w:rPr>
        <w:t>1.1.1.10其他合同文件包括：</w:t>
      </w:r>
      <w:r>
        <w:rPr>
          <w:rFonts w:hint="eastAsia" w:ascii="宋体" w:hAnsi="宋体" w:cs="宋体"/>
          <w:szCs w:val="21"/>
          <w:u w:val="single"/>
        </w:rPr>
        <w:t>发承包双方在合同履行过程中的补充协议，纪要等</w:t>
      </w:r>
    </w:p>
    <w:p>
      <w:pPr>
        <w:spacing w:line="360" w:lineRule="auto"/>
        <w:jc w:val="left"/>
        <w:rPr>
          <w:rFonts w:ascii="宋体" w:hAnsi="宋体" w:cs="宋体"/>
          <w:szCs w:val="21"/>
        </w:rPr>
      </w:pPr>
      <w:r>
        <w:rPr>
          <w:rFonts w:hint="eastAsia" w:ascii="宋体" w:hAnsi="宋体" w:cs="宋体"/>
          <w:szCs w:val="21"/>
        </w:rPr>
        <w:t>1.1.2 合同当事人及其他相关方</w:t>
      </w:r>
    </w:p>
    <w:p>
      <w:pPr>
        <w:spacing w:line="360" w:lineRule="auto"/>
        <w:jc w:val="left"/>
        <w:rPr>
          <w:rFonts w:ascii="宋体" w:hAnsi="宋体" w:cs="宋体"/>
          <w:szCs w:val="21"/>
        </w:rPr>
      </w:pPr>
      <w:r>
        <w:rPr>
          <w:rFonts w:hint="eastAsia" w:ascii="宋体" w:hAnsi="宋体" w:cs="宋体"/>
          <w:szCs w:val="21"/>
        </w:rPr>
        <w:t xml:space="preserve">1.1.2.5 设计人： </w:t>
      </w:r>
    </w:p>
    <w:p>
      <w:pPr>
        <w:spacing w:line="360" w:lineRule="auto"/>
        <w:jc w:val="left"/>
        <w:rPr>
          <w:rFonts w:ascii="宋体" w:hAnsi="宋体" w:cs="宋体"/>
          <w:szCs w:val="21"/>
        </w:rPr>
      </w:pPr>
      <w:r>
        <w:rPr>
          <w:rFonts w:hint="eastAsia" w:ascii="宋体" w:hAnsi="宋体" w:cs="宋体"/>
          <w:szCs w:val="21"/>
        </w:rPr>
        <w:t>1.1.3 工程和设备</w:t>
      </w:r>
    </w:p>
    <w:p>
      <w:pPr>
        <w:spacing w:line="360" w:lineRule="auto"/>
        <w:jc w:val="left"/>
        <w:rPr>
          <w:rFonts w:ascii="宋体" w:hAnsi="宋体" w:cs="宋体"/>
          <w:kern w:val="0"/>
          <w:szCs w:val="21"/>
        </w:rPr>
      </w:pPr>
      <w:r>
        <w:rPr>
          <w:rFonts w:hint="eastAsia" w:ascii="宋体" w:hAnsi="宋体" w:cs="宋体"/>
          <w:kern w:val="0"/>
          <w:szCs w:val="21"/>
        </w:rPr>
        <w:t>1.1.3.9 永久占地包括：</w:t>
      </w:r>
      <w:r>
        <w:rPr>
          <w:rFonts w:hint="eastAsia" w:ascii="宋体" w:hAnsi="宋体" w:cs="宋体"/>
          <w:szCs w:val="21"/>
          <w:u w:val="single"/>
        </w:rPr>
        <w:t>施工图约定建造并移交给发包人的工程</w:t>
      </w:r>
      <w:r>
        <w:rPr>
          <w:rFonts w:hint="eastAsia" w:ascii="宋体" w:hAnsi="宋体" w:cs="宋体"/>
          <w:kern w:val="0"/>
          <w:szCs w:val="21"/>
        </w:rPr>
        <w:t>。</w:t>
      </w:r>
    </w:p>
    <w:p>
      <w:pPr>
        <w:spacing w:line="360" w:lineRule="auto"/>
        <w:jc w:val="left"/>
        <w:rPr>
          <w:rFonts w:ascii="宋体" w:hAnsi="宋体" w:cs="宋体"/>
          <w:szCs w:val="21"/>
        </w:rPr>
      </w:pPr>
      <w:r>
        <w:rPr>
          <w:rFonts w:hint="eastAsia" w:ascii="宋体" w:hAnsi="宋体" w:cs="宋体"/>
          <w:kern w:val="0"/>
          <w:szCs w:val="21"/>
        </w:rPr>
        <w:t>1.1.3.10 临时占地包括：</w:t>
      </w:r>
      <w:r>
        <w:rPr>
          <w:rFonts w:hint="eastAsia" w:ascii="宋体" w:hAnsi="宋体" w:cs="宋体"/>
          <w:szCs w:val="21"/>
          <w:u w:val="single"/>
        </w:rPr>
        <w:t>本合同涉及的所有用于施工的临时性工程</w:t>
      </w:r>
      <w:r>
        <w:rPr>
          <w:rFonts w:hint="eastAsia" w:ascii="宋体" w:hAnsi="宋体" w:cs="宋体"/>
          <w:kern w:val="0"/>
          <w:szCs w:val="21"/>
        </w:rPr>
        <w:t>。</w:t>
      </w:r>
    </w:p>
    <w:p>
      <w:pPr>
        <w:spacing w:line="360" w:lineRule="auto"/>
        <w:jc w:val="left"/>
        <w:rPr>
          <w:rFonts w:ascii="宋体" w:hAnsi="宋体" w:cs="宋体"/>
          <w:szCs w:val="21"/>
        </w:rPr>
      </w:pPr>
      <w:r>
        <w:rPr>
          <w:rFonts w:hint="eastAsia" w:ascii="宋体" w:hAnsi="宋体" w:cs="宋体"/>
          <w:szCs w:val="21"/>
        </w:rPr>
        <w:t>1.4 标准和规范</w:t>
      </w:r>
    </w:p>
    <w:p>
      <w:pPr>
        <w:spacing w:line="360" w:lineRule="auto"/>
        <w:jc w:val="left"/>
        <w:rPr>
          <w:rFonts w:ascii="宋体" w:hAnsi="宋体" w:cs="宋体"/>
          <w:szCs w:val="21"/>
        </w:rPr>
      </w:pPr>
      <w:r>
        <w:rPr>
          <w:rFonts w:hint="eastAsia" w:ascii="宋体" w:hAnsi="宋体" w:cs="宋体"/>
          <w:szCs w:val="21"/>
        </w:rPr>
        <w:t>1.4.1适用于工程的标准规范包括：</w:t>
      </w:r>
      <w:r>
        <w:rPr>
          <w:rFonts w:hint="eastAsia" w:ascii="宋体" w:hAnsi="宋体" w:cs="宋体"/>
          <w:szCs w:val="21"/>
          <w:u w:val="single"/>
        </w:rPr>
        <w:t xml:space="preserve">详图纸、技术标准和要求 </w:t>
      </w:r>
    </w:p>
    <w:p>
      <w:pPr>
        <w:spacing w:line="360" w:lineRule="auto"/>
        <w:jc w:val="left"/>
        <w:rPr>
          <w:rFonts w:ascii="宋体" w:hAnsi="宋体" w:cs="宋体"/>
          <w:szCs w:val="21"/>
        </w:rPr>
      </w:pPr>
      <w:r>
        <w:rPr>
          <w:rFonts w:hint="eastAsia" w:ascii="宋体" w:hAnsi="宋体" w:cs="宋体"/>
          <w:szCs w:val="21"/>
        </w:rPr>
        <w:t>1.5 合同文件的优先顺序</w:t>
      </w:r>
    </w:p>
    <w:p>
      <w:pPr>
        <w:spacing w:line="360" w:lineRule="auto"/>
        <w:jc w:val="left"/>
        <w:rPr>
          <w:rFonts w:ascii="宋体" w:hAnsi="宋体" w:cs="宋体"/>
          <w:kern w:val="0"/>
          <w:szCs w:val="21"/>
        </w:rPr>
      </w:pPr>
      <w:r>
        <w:rPr>
          <w:rFonts w:hint="eastAsia" w:ascii="宋体" w:hAnsi="宋体" w:cs="宋体"/>
          <w:kern w:val="0"/>
          <w:szCs w:val="21"/>
        </w:rPr>
        <w:t>（1）合同协议书；</w:t>
      </w:r>
    </w:p>
    <w:p>
      <w:pPr>
        <w:spacing w:line="360" w:lineRule="auto"/>
        <w:jc w:val="left"/>
        <w:rPr>
          <w:rFonts w:ascii="宋体" w:hAnsi="宋体" w:cs="宋体"/>
          <w:kern w:val="0"/>
          <w:szCs w:val="21"/>
        </w:rPr>
      </w:pPr>
      <w:r>
        <w:rPr>
          <w:rFonts w:hint="eastAsia" w:ascii="宋体" w:hAnsi="宋体" w:cs="宋体"/>
          <w:kern w:val="0"/>
          <w:szCs w:val="21"/>
        </w:rPr>
        <w:t>（2）中标通知书；</w:t>
      </w:r>
    </w:p>
    <w:p>
      <w:pPr>
        <w:spacing w:line="360" w:lineRule="auto"/>
        <w:jc w:val="left"/>
        <w:rPr>
          <w:rFonts w:ascii="宋体" w:hAnsi="宋体" w:cs="宋体"/>
          <w:kern w:val="0"/>
          <w:szCs w:val="21"/>
        </w:rPr>
      </w:pPr>
      <w:r>
        <w:rPr>
          <w:rFonts w:hint="eastAsia" w:ascii="宋体" w:hAnsi="宋体" w:cs="宋体"/>
          <w:kern w:val="0"/>
          <w:szCs w:val="21"/>
        </w:rPr>
        <w:t>（3）专用合同条款</w:t>
      </w:r>
      <w:r>
        <w:rPr>
          <w:rFonts w:hint="eastAsia" w:ascii="宋体" w:hAnsi="宋体" w:cs="宋体"/>
          <w:szCs w:val="21"/>
        </w:rPr>
        <w:t>及其附件</w:t>
      </w:r>
      <w:r>
        <w:rPr>
          <w:rFonts w:hint="eastAsia" w:ascii="宋体" w:hAnsi="宋体" w:cs="宋体"/>
          <w:kern w:val="0"/>
          <w:szCs w:val="21"/>
        </w:rPr>
        <w:t>；</w:t>
      </w:r>
    </w:p>
    <w:p>
      <w:pPr>
        <w:spacing w:line="360" w:lineRule="auto"/>
        <w:jc w:val="left"/>
        <w:rPr>
          <w:rFonts w:ascii="宋体" w:hAnsi="宋体" w:cs="宋体"/>
          <w:kern w:val="0"/>
          <w:szCs w:val="21"/>
        </w:rPr>
      </w:pPr>
      <w:r>
        <w:rPr>
          <w:rFonts w:hint="eastAsia" w:ascii="宋体" w:hAnsi="宋体" w:cs="宋体"/>
          <w:kern w:val="0"/>
          <w:szCs w:val="21"/>
        </w:rPr>
        <w:t>（4）通用合同条款；</w:t>
      </w:r>
    </w:p>
    <w:p>
      <w:pPr>
        <w:spacing w:line="360" w:lineRule="auto"/>
        <w:jc w:val="left"/>
        <w:rPr>
          <w:rFonts w:ascii="宋体" w:hAnsi="宋体" w:cs="宋体"/>
          <w:kern w:val="0"/>
          <w:szCs w:val="21"/>
        </w:rPr>
      </w:pPr>
      <w:r>
        <w:rPr>
          <w:rFonts w:hint="eastAsia" w:ascii="宋体" w:hAnsi="宋体" w:cs="宋体"/>
          <w:kern w:val="0"/>
          <w:szCs w:val="21"/>
        </w:rPr>
        <w:t>（5）技术标准和要求；</w:t>
      </w:r>
    </w:p>
    <w:p>
      <w:pPr>
        <w:spacing w:line="360" w:lineRule="auto"/>
        <w:jc w:val="left"/>
        <w:rPr>
          <w:rFonts w:ascii="宋体" w:hAnsi="宋体" w:cs="宋体"/>
          <w:kern w:val="0"/>
          <w:szCs w:val="21"/>
        </w:rPr>
      </w:pPr>
      <w:r>
        <w:rPr>
          <w:rFonts w:hint="eastAsia" w:ascii="宋体" w:hAnsi="宋体" w:cs="宋体"/>
          <w:kern w:val="0"/>
          <w:szCs w:val="21"/>
        </w:rPr>
        <w:t>（6）图纸；</w:t>
      </w:r>
    </w:p>
    <w:p>
      <w:pPr>
        <w:spacing w:line="360" w:lineRule="auto"/>
        <w:jc w:val="left"/>
        <w:rPr>
          <w:rFonts w:ascii="宋体" w:hAnsi="宋体" w:cs="宋体"/>
          <w:kern w:val="0"/>
          <w:szCs w:val="21"/>
        </w:rPr>
      </w:pPr>
      <w:r>
        <w:rPr>
          <w:rFonts w:hint="eastAsia" w:ascii="宋体" w:hAnsi="宋体" w:cs="宋体"/>
          <w:kern w:val="0"/>
          <w:szCs w:val="21"/>
        </w:rPr>
        <w:t>（7）已标价工程量清单；</w:t>
      </w:r>
    </w:p>
    <w:p>
      <w:pPr>
        <w:spacing w:line="360" w:lineRule="auto"/>
        <w:jc w:val="left"/>
        <w:rPr>
          <w:rFonts w:ascii="宋体" w:hAnsi="宋体" w:cs="宋体"/>
          <w:szCs w:val="21"/>
          <w:u w:val="single"/>
        </w:rPr>
      </w:pPr>
      <w:r>
        <w:rPr>
          <w:rFonts w:hint="eastAsia" w:ascii="宋体" w:hAnsi="宋体" w:cs="宋体"/>
          <w:kern w:val="0"/>
          <w:szCs w:val="21"/>
        </w:rPr>
        <w:t>（8）其他合同文件。</w:t>
      </w:r>
    </w:p>
    <w:p>
      <w:pPr>
        <w:spacing w:line="360" w:lineRule="auto"/>
        <w:jc w:val="left"/>
        <w:rPr>
          <w:rFonts w:ascii="宋体" w:hAnsi="宋体" w:cs="宋体"/>
          <w:szCs w:val="21"/>
        </w:rPr>
      </w:pPr>
      <w:r>
        <w:rPr>
          <w:rFonts w:hint="eastAsia" w:ascii="宋体" w:hAnsi="宋体" w:cs="宋体"/>
          <w:szCs w:val="21"/>
        </w:rPr>
        <w:t>1.6 图纸和承包人文件</w:t>
      </w:r>
      <w:r>
        <w:rPr>
          <w:rFonts w:hint="eastAsia" w:ascii="宋体" w:hAnsi="宋体" w:cs="宋体"/>
          <w:szCs w:val="21"/>
        </w:rPr>
        <w:tab/>
      </w:r>
    </w:p>
    <w:p>
      <w:pPr>
        <w:spacing w:line="360" w:lineRule="auto"/>
        <w:jc w:val="left"/>
        <w:rPr>
          <w:rFonts w:ascii="宋体" w:hAnsi="宋体" w:cs="宋体"/>
          <w:szCs w:val="21"/>
        </w:rPr>
      </w:pPr>
      <w:r>
        <w:rPr>
          <w:rFonts w:hint="eastAsia" w:ascii="宋体" w:hAnsi="宋体" w:cs="宋体"/>
          <w:szCs w:val="21"/>
        </w:rPr>
        <w:t>1.6.1 图纸的提供</w:t>
      </w:r>
    </w:p>
    <w:p>
      <w:pPr>
        <w:spacing w:line="360" w:lineRule="auto"/>
        <w:jc w:val="left"/>
        <w:rPr>
          <w:rFonts w:ascii="宋体" w:hAnsi="宋体" w:cs="宋体"/>
          <w:szCs w:val="21"/>
        </w:rPr>
      </w:pPr>
      <w:r>
        <w:rPr>
          <w:rFonts w:hint="eastAsia" w:ascii="宋体" w:hAnsi="宋体" w:cs="宋体"/>
          <w:szCs w:val="21"/>
        </w:rPr>
        <w:t>发包人向承包人提供图纸的期限：</w:t>
      </w:r>
      <w:r>
        <w:rPr>
          <w:rFonts w:hint="eastAsia" w:ascii="宋体" w:hAnsi="宋体" w:cs="宋体"/>
          <w:szCs w:val="21"/>
          <w:u w:val="single"/>
        </w:rPr>
        <w:t>开工前14日</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发包人向承包人提供图纸的数量：</w:t>
      </w:r>
      <w:r>
        <w:rPr>
          <w:rFonts w:hint="eastAsia" w:ascii="宋体" w:hAnsi="宋体" w:cs="宋体"/>
          <w:szCs w:val="21"/>
          <w:u w:val="single"/>
        </w:rPr>
        <w:t>贰套</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1.6.4 承包人文件</w:t>
      </w:r>
    </w:p>
    <w:p>
      <w:pPr>
        <w:spacing w:line="360" w:lineRule="auto"/>
        <w:jc w:val="left"/>
        <w:rPr>
          <w:rFonts w:ascii="宋体" w:hAnsi="宋体" w:cs="宋体"/>
          <w:szCs w:val="21"/>
          <w:u w:val="single"/>
        </w:rPr>
      </w:pPr>
      <w:r>
        <w:rPr>
          <w:rFonts w:hint="eastAsia" w:ascii="宋体" w:hAnsi="宋体" w:cs="宋体"/>
          <w:szCs w:val="21"/>
        </w:rPr>
        <w:t>需要由承包人提供的文件，包括：</w:t>
      </w:r>
      <w:r>
        <w:rPr>
          <w:rFonts w:hint="eastAsia" w:ascii="宋体" w:hAnsi="宋体" w:cs="宋体"/>
          <w:szCs w:val="21"/>
          <w:u w:val="single"/>
        </w:rPr>
        <w:t>项目组织文件、施工组织设计（含网络图）、进度计划、工程质量保证体系、安全保证体系等</w:t>
      </w:r>
    </w:p>
    <w:p>
      <w:pPr>
        <w:spacing w:line="360" w:lineRule="auto"/>
        <w:jc w:val="left"/>
        <w:rPr>
          <w:rFonts w:ascii="宋体" w:hAnsi="宋体" w:cs="宋体"/>
          <w:szCs w:val="21"/>
        </w:rPr>
      </w:pPr>
      <w:r>
        <w:rPr>
          <w:rFonts w:hint="eastAsia" w:ascii="宋体" w:hAnsi="宋体" w:cs="宋体"/>
          <w:szCs w:val="21"/>
        </w:rPr>
        <w:t>承包人提供的文件的期限为：</w:t>
      </w:r>
      <w:r>
        <w:rPr>
          <w:rFonts w:hint="eastAsia" w:ascii="宋体" w:hAnsi="宋体" w:cs="宋体"/>
          <w:szCs w:val="21"/>
          <w:u w:val="single"/>
        </w:rPr>
        <w:t>合同签订并收到施工图后10天内</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承包人提供的文件的数量为：</w:t>
      </w:r>
      <w:r>
        <w:rPr>
          <w:rFonts w:hint="eastAsia" w:ascii="宋体" w:hAnsi="宋体" w:cs="宋体"/>
          <w:szCs w:val="21"/>
          <w:u w:val="single"/>
        </w:rPr>
        <w:t>肆套</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承包人提供的文件的形式为：</w:t>
      </w:r>
      <w:r>
        <w:rPr>
          <w:rFonts w:hint="eastAsia" w:ascii="宋体" w:hAnsi="宋体" w:cs="宋体"/>
          <w:szCs w:val="21"/>
          <w:u w:val="single"/>
        </w:rPr>
        <w:t>纸质文档及电子文档</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发包人审批承包人文件的期限：</w:t>
      </w:r>
      <w:r>
        <w:rPr>
          <w:rFonts w:hint="eastAsia" w:ascii="宋体" w:hAnsi="宋体" w:cs="宋体"/>
          <w:szCs w:val="21"/>
          <w:u w:val="single"/>
        </w:rPr>
        <w:t>收到文件后7天</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1.7 联络</w:t>
      </w:r>
    </w:p>
    <w:p>
      <w:pPr>
        <w:spacing w:line="360" w:lineRule="auto"/>
        <w:jc w:val="left"/>
        <w:rPr>
          <w:rFonts w:ascii="宋体" w:hAnsi="宋体" w:cs="宋体"/>
          <w:kern w:val="0"/>
          <w:szCs w:val="21"/>
        </w:rPr>
      </w:pPr>
      <w:r>
        <w:rPr>
          <w:rFonts w:hint="eastAsia" w:ascii="宋体" w:hAnsi="宋体" w:cs="宋体"/>
          <w:kern w:val="0"/>
          <w:szCs w:val="21"/>
        </w:rPr>
        <w:t>1.7.1发包人和承包人应当在</w:t>
      </w:r>
      <w:r>
        <w:rPr>
          <w:rFonts w:hint="eastAsia" w:ascii="宋体" w:hAnsi="宋体" w:cs="宋体"/>
          <w:szCs w:val="21"/>
          <w:u w:val="single"/>
        </w:rPr>
        <w:t xml:space="preserve">7 </w:t>
      </w:r>
      <w:r>
        <w:rPr>
          <w:rFonts w:hint="eastAsia" w:ascii="宋体" w:hAnsi="宋体" w:cs="宋体"/>
          <w:kern w:val="0"/>
          <w:szCs w:val="21"/>
        </w:rPr>
        <w:t>天内将与合同有关的通知、批准、证明、证书、指示、指令、要求、请求、同意、意见、确定和决定等书面函件送达双方指定地点和接收人，并办理签收手续。</w:t>
      </w:r>
    </w:p>
    <w:p>
      <w:pPr>
        <w:spacing w:line="400" w:lineRule="exact"/>
        <w:rPr>
          <w:rFonts w:ascii="宋体" w:hAnsi="宋体" w:cs="宋体"/>
          <w:kern w:val="0"/>
          <w:szCs w:val="21"/>
        </w:rPr>
      </w:pPr>
      <w:r>
        <w:rPr>
          <w:rFonts w:hint="eastAsia" w:ascii="宋体" w:hAnsi="宋体" w:cs="宋体"/>
          <w:kern w:val="0"/>
          <w:szCs w:val="21"/>
        </w:rPr>
        <w:t>1.7.2 发包人接收文件的地点：</w:t>
      </w:r>
      <w:r>
        <w:rPr>
          <w:rFonts w:hint="eastAsia" w:ascii="宋体" w:hAnsi="宋体" w:cs="宋体"/>
          <w:szCs w:val="21"/>
          <w:u w:val="single"/>
        </w:rPr>
        <w:t>项目现场办公室</w:t>
      </w:r>
      <w:r>
        <w:rPr>
          <w:rFonts w:hint="eastAsia" w:ascii="宋体" w:hAnsi="宋体" w:cs="宋体"/>
          <w:kern w:val="0"/>
          <w:szCs w:val="21"/>
        </w:rPr>
        <w:t>；</w:t>
      </w:r>
    </w:p>
    <w:p>
      <w:pPr>
        <w:spacing w:line="400" w:lineRule="exact"/>
        <w:ind w:firstLine="630" w:firstLineChars="300"/>
        <w:rPr>
          <w:rFonts w:ascii="宋体" w:hAnsi="宋体" w:cs="宋体"/>
          <w:kern w:val="0"/>
          <w:szCs w:val="21"/>
        </w:rPr>
      </w:pPr>
      <w:r>
        <w:rPr>
          <w:rFonts w:hint="eastAsia" w:ascii="宋体" w:hAnsi="宋体" w:cs="宋体"/>
          <w:kern w:val="0"/>
          <w:szCs w:val="21"/>
        </w:rPr>
        <w:t>发包人指定的接收人为：。</w:t>
      </w:r>
    </w:p>
    <w:p>
      <w:pPr>
        <w:spacing w:line="400" w:lineRule="exact"/>
        <w:ind w:firstLine="630" w:firstLineChars="300"/>
        <w:rPr>
          <w:rFonts w:ascii="宋体" w:hAnsi="宋体" w:cs="宋体"/>
          <w:kern w:val="0"/>
          <w:szCs w:val="21"/>
        </w:rPr>
      </w:pPr>
      <w:r>
        <w:rPr>
          <w:rFonts w:hint="eastAsia" w:ascii="宋体" w:hAnsi="宋体" w:cs="宋体"/>
          <w:kern w:val="0"/>
          <w:szCs w:val="21"/>
        </w:rPr>
        <w:t>承包人接收文件的地点：</w:t>
      </w:r>
      <w:r>
        <w:rPr>
          <w:rFonts w:hint="eastAsia" w:ascii="宋体" w:hAnsi="宋体" w:cs="宋体"/>
          <w:szCs w:val="21"/>
          <w:u w:val="single"/>
        </w:rPr>
        <w:t>项目现场劳务办公室</w:t>
      </w:r>
      <w:r>
        <w:rPr>
          <w:rFonts w:hint="eastAsia" w:ascii="宋体" w:hAnsi="宋体" w:cs="宋体"/>
          <w:kern w:val="0"/>
          <w:szCs w:val="21"/>
        </w:rPr>
        <w:t>；</w:t>
      </w:r>
    </w:p>
    <w:p>
      <w:pPr>
        <w:spacing w:line="360" w:lineRule="auto"/>
        <w:ind w:firstLine="630" w:firstLineChars="300"/>
        <w:jc w:val="left"/>
        <w:rPr>
          <w:rFonts w:ascii="宋体" w:hAnsi="宋体" w:cs="宋体"/>
          <w:kern w:val="0"/>
          <w:szCs w:val="21"/>
        </w:rPr>
      </w:pPr>
      <w:r>
        <w:rPr>
          <w:rFonts w:hint="eastAsia" w:ascii="宋体" w:hAnsi="宋体" w:cs="宋体"/>
          <w:kern w:val="0"/>
          <w:szCs w:val="21"/>
        </w:rPr>
        <w:t>承包人指定的接收人为：。</w:t>
      </w:r>
    </w:p>
    <w:p>
      <w:pPr>
        <w:spacing w:line="360" w:lineRule="auto"/>
        <w:jc w:val="left"/>
        <w:rPr>
          <w:rFonts w:ascii="宋体" w:hAnsi="宋体" w:cs="宋体"/>
          <w:szCs w:val="21"/>
        </w:rPr>
      </w:pPr>
      <w:r>
        <w:rPr>
          <w:rFonts w:hint="eastAsia" w:ascii="宋体" w:hAnsi="宋体" w:cs="宋体"/>
          <w:szCs w:val="21"/>
        </w:rPr>
        <w:t>1.10 交通运输</w:t>
      </w:r>
    </w:p>
    <w:p>
      <w:pPr>
        <w:spacing w:line="360" w:lineRule="auto"/>
        <w:jc w:val="left"/>
        <w:rPr>
          <w:rFonts w:ascii="宋体" w:hAnsi="宋体" w:cs="宋体"/>
          <w:szCs w:val="21"/>
        </w:rPr>
      </w:pPr>
      <w:r>
        <w:rPr>
          <w:rFonts w:hint="eastAsia" w:ascii="宋体" w:hAnsi="宋体" w:cs="宋体"/>
          <w:szCs w:val="21"/>
        </w:rPr>
        <w:t>1</w:t>
      </w:r>
      <w:bookmarkStart w:id="254" w:name="_Toc304295521"/>
      <w:bookmarkStart w:id="255" w:name="_Toc303539100"/>
      <w:bookmarkStart w:id="256" w:name="_Toc318581155"/>
      <w:bookmarkStart w:id="257" w:name="_Toc312677986"/>
      <w:bookmarkStart w:id="258" w:name="_Toc300934943"/>
      <w:r>
        <w:rPr>
          <w:rFonts w:hint="eastAsia" w:ascii="宋体" w:hAnsi="宋体" w:cs="宋体"/>
          <w:szCs w:val="21"/>
        </w:rPr>
        <w:t>.10.1 出入现场的权利</w:t>
      </w:r>
    </w:p>
    <w:p>
      <w:pPr>
        <w:spacing w:line="360" w:lineRule="auto"/>
        <w:jc w:val="left"/>
        <w:rPr>
          <w:rFonts w:ascii="宋体" w:hAnsi="宋体" w:cs="宋体"/>
          <w:szCs w:val="21"/>
          <w:u w:val="single"/>
        </w:rPr>
      </w:pPr>
      <w:r>
        <w:rPr>
          <w:rFonts w:hint="eastAsia" w:ascii="宋体" w:hAnsi="宋体" w:cs="宋体"/>
          <w:szCs w:val="21"/>
        </w:rPr>
        <w:t>关于出入现场的权利的约定：</w:t>
      </w:r>
      <w:r>
        <w:rPr>
          <w:rFonts w:hint="eastAsia" w:ascii="宋体" w:hAnsi="宋体" w:cs="宋体"/>
          <w:szCs w:val="21"/>
          <w:u w:val="single"/>
        </w:rPr>
        <w:t>承包人负责办理，发包人协助，费用由承包人承担。</w:t>
      </w:r>
    </w:p>
    <w:bookmarkEnd w:id="254"/>
    <w:bookmarkEnd w:id="255"/>
    <w:bookmarkEnd w:id="256"/>
    <w:bookmarkEnd w:id="257"/>
    <w:bookmarkEnd w:id="258"/>
    <w:p>
      <w:pPr>
        <w:spacing w:line="360" w:lineRule="auto"/>
        <w:jc w:val="left"/>
        <w:rPr>
          <w:rFonts w:ascii="宋体" w:hAnsi="宋体" w:cs="宋体"/>
          <w:szCs w:val="21"/>
        </w:rPr>
      </w:pPr>
      <w:r>
        <w:rPr>
          <w:rFonts w:hint="eastAsia" w:ascii="宋体" w:hAnsi="宋体" w:cs="宋体"/>
          <w:szCs w:val="21"/>
        </w:rPr>
        <w:t>1</w:t>
      </w:r>
      <w:bookmarkStart w:id="259" w:name="_Toc304295522"/>
      <w:bookmarkStart w:id="260" w:name="_Toc312677987"/>
      <w:bookmarkStart w:id="261" w:name="_Toc300934944"/>
      <w:bookmarkStart w:id="262" w:name="_Toc318581156"/>
      <w:bookmarkStart w:id="263" w:name="_Toc303539101"/>
      <w:r>
        <w:rPr>
          <w:rFonts w:hint="eastAsia" w:ascii="宋体" w:hAnsi="宋体" w:cs="宋体"/>
          <w:szCs w:val="21"/>
        </w:rPr>
        <w:t>.10.3 场内交通</w:t>
      </w:r>
    </w:p>
    <w:p>
      <w:pPr>
        <w:spacing w:line="360" w:lineRule="auto"/>
        <w:jc w:val="left"/>
        <w:rPr>
          <w:rFonts w:ascii="宋体" w:hAnsi="宋体" w:cs="宋体"/>
          <w:kern w:val="0"/>
          <w:szCs w:val="21"/>
        </w:rPr>
      </w:pPr>
      <w:r>
        <w:rPr>
          <w:rFonts w:hint="eastAsia" w:ascii="宋体" w:hAnsi="宋体" w:cs="宋体"/>
          <w:kern w:val="0"/>
          <w:szCs w:val="21"/>
        </w:rPr>
        <w:t>关于场外交通和场内交通的边界的约定：</w:t>
      </w:r>
      <w:r>
        <w:rPr>
          <w:rFonts w:hint="eastAsia" w:ascii="宋体" w:hAnsi="宋体" w:cs="宋体"/>
          <w:szCs w:val="21"/>
          <w:u w:val="single"/>
        </w:rPr>
        <w:t>    /  </w:t>
      </w:r>
    </w:p>
    <w:p>
      <w:pPr>
        <w:spacing w:line="360" w:lineRule="auto"/>
        <w:jc w:val="left"/>
        <w:rPr>
          <w:rFonts w:ascii="宋体" w:hAnsi="宋体" w:cs="宋体"/>
          <w:szCs w:val="21"/>
        </w:rPr>
      </w:pPr>
      <w:r>
        <w:rPr>
          <w:rFonts w:hint="eastAsia" w:ascii="宋体" w:hAnsi="宋体" w:cs="宋体"/>
          <w:szCs w:val="21"/>
        </w:rPr>
        <w:t>关于发包人向承包人免费提供满足工程施工需要的场内道路和交通设施的约定：</w:t>
      </w:r>
      <w:r>
        <w:rPr>
          <w:rFonts w:hint="eastAsia" w:ascii="宋体" w:hAnsi="宋体" w:cs="宋体"/>
          <w:szCs w:val="21"/>
          <w:u w:val="single"/>
        </w:rPr>
        <w:t>进场前完成</w:t>
      </w:r>
      <w:bookmarkEnd w:id="259"/>
      <w:bookmarkEnd w:id="260"/>
      <w:bookmarkEnd w:id="261"/>
      <w:bookmarkEnd w:id="262"/>
      <w:bookmarkEnd w:id="263"/>
      <w:bookmarkStart w:id="264" w:name="_Toc318581157"/>
    </w:p>
    <w:p>
      <w:pPr>
        <w:spacing w:line="360" w:lineRule="auto"/>
        <w:jc w:val="left"/>
        <w:rPr>
          <w:rFonts w:ascii="宋体" w:hAnsi="宋体" w:cs="宋体"/>
          <w:szCs w:val="21"/>
        </w:rPr>
      </w:pPr>
      <w:r>
        <w:rPr>
          <w:rFonts w:hint="eastAsia" w:ascii="宋体" w:hAnsi="宋体" w:cs="宋体"/>
          <w:szCs w:val="21"/>
        </w:rPr>
        <w:t>1.10.4超大件和超重件的运输</w:t>
      </w:r>
    </w:p>
    <w:p>
      <w:pPr>
        <w:spacing w:line="360" w:lineRule="auto"/>
        <w:jc w:val="left"/>
        <w:rPr>
          <w:rFonts w:ascii="宋体" w:hAnsi="宋体" w:cs="宋体"/>
          <w:szCs w:val="21"/>
        </w:rPr>
      </w:pPr>
      <w:r>
        <w:rPr>
          <w:rFonts w:hint="eastAsia" w:ascii="宋体" w:hAnsi="宋体" w:cs="宋体"/>
          <w:szCs w:val="21"/>
        </w:rPr>
        <w:t>运输超大件或超重件所需的道路和桥梁临时加固改造费用和其他有关费用，由</w:t>
      </w:r>
      <w:r>
        <w:rPr>
          <w:rFonts w:hint="eastAsia" w:ascii="宋体" w:hAnsi="宋体" w:cs="宋体"/>
          <w:szCs w:val="21"/>
          <w:u w:val="single"/>
        </w:rPr>
        <w:t>承包人</w:t>
      </w:r>
      <w:r>
        <w:rPr>
          <w:rFonts w:hint="eastAsia" w:ascii="宋体" w:hAnsi="宋体" w:cs="宋体"/>
          <w:szCs w:val="21"/>
        </w:rPr>
        <w:t>承担。</w:t>
      </w:r>
    </w:p>
    <w:bookmarkEnd w:id="264"/>
    <w:p>
      <w:pPr>
        <w:spacing w:line="360" w:lineRule="auto"/>
        <w:jc w:val="left"/>
        <w:rPr>
          <w:rFonts w:ascii="宋体" w:hAnsi="宋体" w:cs="宋体"/>
          <w:szCs w:val="21"/>
        </w:rPr>
      </w:pPr>
      <w:r>
        <w:rPr>
          <w:rFonts w:hint="eastAsia" w:ascii="宋体" w:hAnsi="宋体" w:cs="宋体"/>
          <w:szCs w:val="21"/>
        </w:rPr>
        <w:t>1.11 知识产权</w:t>
      </w:r>
    </w:p>
    <w:p>
      <w:pPr>
        <w:spacing w:line="360" w:lineRule="auto"/>
        <w:jc w:val="left"/>
        <w:rPr>
          <w:rFonts w:ascii="宋体" w:hAnsi="宋体" w:cs="宋体"/>
          <w:szCs w:val="21"/>
        </w:rPr>
      </w:pPr>
      <w:r>
        <w:rPr>
          <w:rFonts w:hint="eastAsia" w:ascii="宋体" w:hAnsi="宋体" w:cs="宋体"/>
          <w:szCs w:val="21"/>
        </w:rPr>
        <w:t>1.11.1关于发包人提供给承包人的图纸、发包人为实施工程自行编制或委托编制的技术规范以及反映发包人关于合同要求或其他类似性质的文件的著作权的归属：</w:t>
      </w:r>
      <w:r>
        <w:rPr>
          <w:rFonts w:hint="eastAsia" w:ascii="宋体" w:hAnsi="宋体" w:cs="宋体"/>
          <w:kern w:val="0"/>
          <w:szCs w:val="21"/>
          <w:u w:val="single"/>
        </w:rPr>
        <w:t>发包人提供给承包人的图纸、发包人为实施工程自行编制或委托编制的技术规范以及反映发包人要求的或其他类似性质的文件的著作权属于发包人。</w:t>
      </w:r>
    </w:p>
    <w:p>
      <w:pPr>
        <w:spacing w:line="360" w:lineRule="auto"/>
        <w:jc w:val="left"/>
        <w:rPr>
          <w:rFonts w:ascii="宋体" w:hAnsi="宋体" w:cs="宋体"/>
          <w:szCs w:val="21"/>
        </w:rPr>
      </w:pPr>
      <w:r>
        <w:rPr>
          <w:rFonts w:hint="eastAsia" w:ascii="宋体" w:hAnsi="宋体" w:cs="宋体"/>
          <w:szCs w:val="21"/>
        </w:rPr>
        <w:t>关于发包人提供的上述文件的使用限制的要求：</w:t>
      </w:r>
      <w:r>
        <w:rPr>
          <w:rFonts w:hint="eastAsia" w:ascii="宋体" w:hAnsi="宋体" w:cs="宋体"/>
          <w:kern w:val="0"/>
          <w:szCs w:val="21"/>
          <w:u w:val="single"/>
        </w:rPr>
        <w:t>承包人可以为实现合同目的而复制、使用此类文件，但不能用于与合同无关的其他事项。未经发包人书面同意，承包人不得为了合同以外的目的而复制、使用上述文件或将之提供给任何第三方。</w:t>
      </w:r>
    </w:p>
    <w:p>
      <w:pPr>
        <w:spacing w:line="360" w:lineRule="auto"/>
        <w:jc w:val="left"/>
        <w:rPr>
          <w:rFonts w:ascii="宋体" w:hAnsi="宋体" w:cs="宋体"/>
          <w:szCs w:val="21"/>
        </w:rPr>
      </w:pPr>
      <w:r>
        <w:rPr>
          <w:rFonts w:hint="eastAsia" w:ascii="宋体" w:hAnsi="宋体" w:cs="宋体"/>
          <w:szCs w:val="21"/>
        </w:rPr>
        <w:t>1.11.2 关于承包人为实施工程所编制文件的著作权的归属：</w:t>
      </w:r>
      <w:r>
        <w:rPr>
          <w:rFonts w:hint="eastAsia" w:ascii="宋体" w:hAnsi="宋体" w:cs="宋体"/>
          <w:kern w:val="0"/>
          <w:szCs w:val="21"/>
          <w:u w:val="single"/>
        </w:rPr>
        <w:t>承包人为实施工程所编制的文件，除署名权以外的著作权属于发包人。</w:t>
      </w:r>
    </w:p>
    <w:p>
      <w:pPr>
        <w:spacing w:line="360" w:lineRule="auto"/>
        <w:jc w:val="left"/>
        <w:rPr>
          <w:rFonts w:ascii="宋体" w:hAnsi="宋体" w:cs="宋体"/>
          <w:szCs w:val="21"/>
          <w:u w:val="single"/>
        </w:rPr>
      </w:pPr>
      <w:r>
        <w:rPr>
          <w:rFonts w:hint="eastAsia" w:ascii="宋体" w:hAnsi="宋体" w:cs="宋体"/>
          <w:szCs w:val="21"/>
        </w:rPr>
        <w:t>关于承包人提供的上述文件的使用限制的要求：</w:t>
      </w:r>
      <w:r>
        <w:rPr>
          <w:rFonts w:hint="eastAsia" w:ascii="宋体" w:hAnsi="宋体" w:cs="宋体"/>
          <w:kern w:val="0"/>
          <w:szCs w:val="21"/>
          <w:u w:val="single"/>
        </w:rPr>
        <w:t>承包人可因实施工程的运行、调试、维修、改造等目的而复制、使用此类文件，但不能用于与合同无关的其他事项，未经发包人书面同意，承包人不得为了合同以外的目的而复制、使用上述文件或将之提供给任何第三方。</w:t>
      </w:r>
    </w:p>
    <w:p>
      <w:pPr>
        <w:spacing w:line="360" w:lineRule="auto"/>
        <w:jc w:val="left"/>
        <w:rPr>
          <w:rFonts w:ascii="宋体" w:hAnsi="宋体" w:cs="宋体"/>
          <w:kern w:val="0"/>
          <w:szCs w:val="21"/>
        </w:rPr>
      </w:pPr>
      <w:r>
        <w:rPr>
          <w:rFonts w:hint="eastAsia" w:ascii="宋体" w:hAnsi="宋体" w:cs="宋体"/>
          <w:szCs w:val="21"/>
        </w:rPr>
        <w:t>1.11.4 承包人在施工过程中所采用的专利、专有技术、技术秘密的使用费的承担方式：</w:t>
      </w:r>
      <w:r>
        <w:rPr>
          <w:rFonts w:hint="eastAsia" w:ascii="宋体" w:hAnsi="宋体" w:cs="宋体"/>
          <w:szCs w:val="21"/>
          <w:u w:val="single"/>
        </w:rPr>
        <w:t xml:space="preserve">承包人在合同签订前和签订时已确定采用的专利、专有技术、技术秘密的使用费已包含在签约合同价中。                       </w:t>
      </w:r>
    </w:p>
    <w:p>
      <w:pPr>
        <w:spacing w:line="360" w:lineRule="auto"/>
        <w:jc w:val="left"/>
        <w:rPr>
          <w:rFonts w:ascii="宋体" w:hAnsi="宋体" w:cs="宋体"/>
          <w:b/>
          <w:szCs w:val="21"/>
        </w:rPr>
      </w:pPr>
      <w:bookmarkStart w:id="265" w:name="_Toc351203634"/>
      <w:r>
        <w:rPr>
          <w:rFonts w:hint="eastAsia" w:ascii="宋体" w:hAnsi="宋体" w:cs="宋体"/>
          <w:szCs w:val="21"/>
        </w:rPr>
        <w:t>2</w:t>
      </w:r>
      <w:bookmarkStart w:id="266" w:name="_Toc297120457"/>
      <w:bookmarkStart w:id="267" w:name="_Toc296503157"/>
      <w:bookmarkStart w:id="268" w:name="_Toc297048343"/>
      <w:bookmarkStart w:id="269" w:name="_Toc292559362"/>
      <w:bookmarkStart w:id="270" w:name="_Toc292559867"/>
      <w:bookmarkStart w:id="271" w:name="_Toc296891197"/>
      <w:bookmarkStart w:id="272" w:name="_Toc296890985"/>
      <w:bookmarkStart w:id="273" w:name="_Toc296347156"/>
      <w:bookmarkStart w:id="274" w:name="_Toc296944496"/>
      <w:bookmarkStart w:id="275" w:name="_Toc296346658"/>
      <w:r>
        <w:rPr>
          <w:rFonts w:hint="eastAsia" w:ascii="宋体" w:hAnsi="宋体" w:cs="宋体"/>
          <w:szCs w:val="21"/>
        </w:rPr>
        <w:t>. 发包人</w:t>
      </w:r>
      <w:bookmarkEnd w:id="265"/>
    </w:p>
    <w:bookmarkEnd w:id="266"/>
    <w:bookmarkEnd w:id="267"/>
    <w:bookmarkEnd w:id="268"/>
    <w:bookmarkEnd w:id="269"/>
    <w:bookmarkEnd w:id="270"/>
    <w:bookmarkEnd w:id="271"/>
    <w:bookmarkEnd w:id="272"/>
    <w:bookmarkEnd w:id="273"/>
    <w:bookmarkEnd w:id="274"/>
    <w:bookmarkEnd w:id="275"/>
    <w:p>
      <w:pPr>
        <w:spacing w:line="360" w:lineRule="auto"/>
        <w:jc w:val="left"/>
        <w:rPr>
          <w:rFonts w:ascii="宋体" w:hAnsi="宋体" w:cs="宋体"/>
          <w:szCs w:val="21"/>
        </w:rPr>
      </w:pPr>
      <w:r>
        <w:rPr>
          <w:rFonts w:hint="eastAsia" w:ascii="宋体" w:hAnsi="宋体" w:cs="宋体"/>
          <w:szCs w:val="21"/>
        </w:rPr>
        <w:t>2.4 施工现场、施工条件和基础资料的提供</w:t>
      </w:r>
    </w:p>
    <w:p>
      <w:pPr>
        <w:spacing w:line="360" w:lineRule="auto"/>
        <w:jc w:val="left"/>
        <w:rPr>
          <w:rFonts w:ascii="宋体" w:hAnsi="宋体" w:cs="宋体"/>
          <w:szCs w:val="21"/>
        </w:rPr>
      </w:pPr>
      <w:r>
        <w:rPr>
          <w:rFonts w:hint="eastAsia" w:ascii="宋体" w:hAnsi="宋体" w:cs="宋体"/>
          <w:szCs w:val="21"/>
        </w:rPr>
        <w:t>2.4.2 提供施工条件</w:t>
      </w:r>
    </w:p>
    <w:p>
      <w:pPr>
        <w:spacing w:line="500" w:lineRule="exact"/>
        <w:ind w:firstLine="420" w:firstLineChars="200"/>
        <w:rPr>
          <w:rFonts w:ascii="宋体" w:hAnsi="宋体" w:cs="宋体"/>
          <w:szCs w:val="21"/>
        </w:rPr>
      </w:pPr>
      <w:r>
        <w:rPr>
          <w:rFonts w:hint="eastAsia" w:ascii="宋体" w:hAnsi="宋体" w:cs="宋体"/>
          <w:szCs w:val="21"/>
        </w:rPr>
        <w:t>1）施工场地具备施工条件的要求及完成的时间：</w:t>
      </w:r>
      <w:r>
        <w:rPr>
          <w:rFonts w:hint="eastAsia" w:ascii="宋体" w:hAnsi="宋体" w:cs="宋体"/>
          <w:szCs w:val="21"/>
          <w:u w:val="single"/>
        </w:rPr>
        <w:t>已具备</w:t>
      </w:r>
      <w:r>
        <w:rPr>
          <w:rFonts w:hint="eastAsia" w:ascii="宋体" w:hAnsi="宋体" w:cs="宋体"/>
          <w:szCs w:val="21"/>
        </w:rPr>
        <w:t>；施工场地与公共道路的通道开通时间和要求：</w:t>
      </w:r>
      <w:r>
        <w:rPr>
          <w:rFonts w:hint="eastAsia" w:ascii="宋体" w:hAnsi="宋体" w:cs="宋体"/>
          <w:szCs w:val="21"/>
          <w:u w:val="single"/>
        </w:rPr>
        <w:t>已完成</w:t>
      </w:r>
      <w:r>
        <w:rPr>
          <w:rFonts w:hint="eastAsia" w:ascii="宋体" w:hAnsi="宋体" w:cs="宋体"/>
          <w:szCs w:val="21"/>
        </w:rPr>
        <w:t xml:space="preserve">； </w:t>
      </w:r>
    </w:p>
    <w:p>
      <w:pPr>
        <w:spacing w:line="500" w:lineRule="exact"/>
        <w:ind w:firstLine="420" w:firstLineChars="200"/>
        <w:rPr>
          <w:rFonts w:ascii="宋体" w:hAnsi="宋体" w:cs="宋体"/>
          <w:szCs w:val="21"/>
        </w:rPr>
      </w:pPr>
      <w:r>
        <w:rPr>
          <w:rFonts w:hint="eastAsia" w:ascii="宋体" w:hAnsi="宋体" w:cs="宋体"/>
          <w:szCs w:val="21"/>
        </w:rPr>
        <w:t>2）电源：</w:t>
      </w:r>
      <w:r>
        <w:rPr>
          <w:rFonts w:hint="eastAsia" w:ascii="宋体" w:hAnsi="宋体" w:cs="宋体"/>
          <w:szCs w:val="21"/>
          <w:u w:val="single"/>
        </w:rPr>
        <w:t>发包人提供380V电压，由承包人负责接入，挂表使用并承担费用</w:t>
      </w:r>
      <w:r>
        <w:rPr>
          <w:rFonts w:hint="eastAsia" w:ascii="宋体" w:hAnsi="宋体" w:cs="宋体"/>
          <w:szCs w:val="21"/>
        </w:rPr>
        <w:t>；</w:t>
      </w:r>
    </w:p>
    <w:p>
      <w:pPr>
        <w:spacing w:line="500" w:lineRule="exact"/>
        <w:ind w:firstLine="420" w:firstLineChars="200"/>
        <w:rPr>
          <w:rFonts w:ascii="宋体" w:hAnsi="宋体" w:cs="宋体"/>
          <w:szCs w:val="21"/>
        </w:rPr>
      </w:pPr>
      <w:r>
        <w:rPr>
          <w:rFonts w:hint="eastAsia" w:ascii="宋体" w:hAnsi="宋体" w:cs="宋体"/>
          <w:szCs w:val="21"/>
        </w:rPr>
        <w:t>3）水源：</w:t>
      </w:r>
      <w:r>
        <w:rPr>
          <w:rFonts w:hint="eastAsia" w:ascii="宋体" w:hAnsi="宋体" w:cs="宋体"/>
          <w:szCs w:val="21"/>
          <w:u w:val="single"/>
        </w:rPr>
        <w:t>施工用水由发包人提供总表，由承包人负责，挂表使用并承担费用</w:t>
      </w:r>
      <w:r>
        <w:rPr>
          <w:rFonts w:hint="eastAsia" w:ascii="宋体" w:hAnsi="宋体" w:cs="宋体"/>
          <w:szCs w:val="21"/>
        </w:rPr>
        <w:t>；</w:t>
      </w:r>
    </w:p>
    <w:p>
      <w:pPr>
        <w:spacing w:line="500" w:lineRule="exact"/>
        <w:ind w:firstLine="420" w:firstLineChars="200"/>
        <w:rPr>
          <w:rFonts w:ascii="宋体" w:hAnsi="宋体" w:cs="宋体"/>
          <w:szCs w:val="21"/>
        </w:rPr>
      </w:pPr>
      <w:r>
        <w:rPr>
          <w:rFonts w:hint="eastAsia" w:ascii="宋体" w:hAnsi="宋体" w:cs="宋体"/>
          <w:szCs w:val="21"/>
        </w:rPr>
        <w:t>4）</w:t>
      </w:r>
      <w:r>
        <w:rPr>
          <w:rFonts w:hint="eastAsia" w:ascii="宋体" w:hAnsi="宋体" w:cs="宋体"/>
          <w:b/>
          <w:szCs w:val="21"/>
        </w:rPr>
        <w:t>发包人提供的地勘资料仅供参考</w:t>
      </w:r>
      <w:r>
        <w:rPr>
          <w:rFonts w:hint="eastAsia" w:ascii="宋体" w:hAnsi="宋体" w:cs="宋体"/>
          <w:szCs w:val="21"/>
        </w:rPr>
        <w:t>，承包人通过自行踏勘、查询落实工程地质和地下管线资料，并对资料的真实准确性负责；</w:t>
      </w:r>
    </w:p>
    <w:p>
      <w:pPr>
        <w:spacing w:line="500" w:lineRule="exact"/>
        <w:ind w:firstLine="420" w:firstLineChars="200"/>
        <w:rPr>
          <w:rFonts w:ascii="宋体" w:hAnsi="宋体" w:cs="宋体"/>
          <w:szCs w:val="21"/>
        </w:rPr>
      </w:pPr>
      <w:r>
        <w:rPr>
          <w:rFonts w:hint="eastAsia" w:ascii="宋体" w:hAnsi="宋体" w:cs="宋体"/>
          <w:szCs w:val="21"/>
        </w:rPr>
        <w:t>5）水准点与座标控制点交验要求：</w:t>
      </w:r>
      <w:r>
        <w:rPr>
          <w:rFonts w:hint="eastAsia" w:ascii="宋体" w:hAnsi="宋体" w:cs="宋体"/>
          <w:szCs w:val="21"/>
          <w:u w:val="single"/>
        </w:rPr>
        <w:t>现场交验形成书面记录</w:t>
      </w:r>
      <w:r>
        <w:rPr>
          <w:rFonts w:hint="eastAsia" w:ascii="宋体" w:hAnsi="宋体" w:cs="宋体"/>
          <w:szCs w:val="21"/>
        </w:rPr>
        <w:t>；</w:t>
      </w:r>
    </w:p>
    <w:p>
      <w:pPr>
        <w:spacing w:line="500" w:lineRule="exact"/>
        <w:ind w:firstLine="420" w:firstLineChars="200"/>
        <w:rPr>
          <w:rFonts w:ascii="宋体" w:hAnsi="宋体" w:cs="宋体"/>
          <w:szCs w:val="21"/>
        </w:rPr>
      </w:pPr>
      <w:r>
        <w:rPr>
          <w:rFonts w:hint="eastAsia" w:ascii="宋体" w:hAnsi="宋体" w:cs="宋体"/>
          <w:szCs w:val="21"/>
        </w:rPr>
        <w:t>6）由发包人办理的施工所需证件、批件的名称和完成时间：</w:t>
      </w:r>
      <w:r>
        <w:rPr>
          <w:rFonts w:hint="eastAsia" w:ascii="宋体" w:hAnsi="宋体" w:cs="宋体"/>
          <w:szCs w:val="21"/>
          <w:u w:val="single"/>
        </w:rPr>
        <w:t>根据工程实际情况办理相关手续</w:t>
      </w:r>
      <w:r>
        <w:rPr>
          <w:rFonts w:hint="eastAsia" w:ascii="宋体" w:hAnsi="宋体" w:cs="宋体"/>
          <w:szCs w:val="21"/>
        </w:rPr>
        <w:t>；</w:t>
      </w:r>
    </w:p>
    <w:p>
      <w:pPr>
        <w:spacing w:line="360" w:lineRule="auto"/>
        <w:ind w:firstLine="420" w:firstLineChars="200"/>
        <w:jc w:val="left"/>
        <w:rPr>
          <w:rFonts w:ascii="宋体" w:hAnsi="宋体" w:cs="宋体"/>
          <w:szCs w:val="21"/>
          <w:u w:val="single"/>
        </w:rPr>
      </w:pPr>
      <w:r>
        <w:rPr>
          <w:rFonts w:hint="eastAsia" w:ascii="宋体" w:hAnsi="宋体" w:cs="宋体"/>
          <w:szCs w:val="21"/>
        </w:rPr>
        <w:t>7）协调处理施工场地周围地下管线和邻近建筑物、构筑物(含文物保护建筑)、古树名木的保护工作：</w:t>
      </w:r>
      <w:r>
        <w:rPr>
          <w:rFonts w:hint="eastAsia" w:ascii="宋体" w:hAnsi="宋体" w:cs="宋体"/>
          <w:szCs w:val="21"/>
          <w:u w:val="single"/>
        </w:rPr>
        <w:t>由承包人负责保护，费用由发包人承担（按法律法规的要求进行保护）；</w:t>
      </w:r>
    </w:p>
    <w:p>
      <w:pPr>
        <w:spacing w:line="360" w:lineRule="auto"/>
        <w:jc w:val="left"/>
        <w:rPr>
          <w:rFonts w:ascii="宋体" w:hAnsi="宋体" w:cs="宋体"/>
          <w:szCs w:val="21"/>
        </w:rPr>
      </w:pPr>
      <w:r>
        <w:rPr>
          <w:rFonts w:hint="eastAsia" w:ascii="宋体" w:hAnsi="宋体" w:cs="宋体"/>
          <w:szCs w:val="21"/>
        </w:rPr>
        <w:t>2.4.3 其他义务</w:t>
      </w:r>
    </w:p>
    <w:p>
      <w:pPr>
        <w:spacing w:line="360" w:lineRule="auto"/>
        <w:ind w:firstLine="420"/>
        <w:jc w:val="left"/>
        <w:rPr>
          <w:rFonts w:ascii="宋体" w:hAnsi="宋体" w:cs="宋体"/>
          <w:szCs w:val="21"/>
        </w:rPr>
      </w:pPr>
      <w:r>
        <w:rPr>
          <w:rFonts w:hint="eastAsia" w:ascii="宋体" w:hAnsi="宋体" w:cs="宋体"/>
          <w:szCs w:val="21"/>
        </w:rPr>
        <w:t>1) 双方约定发包人应做的其他工作：</w:t>
      </w:r>
      <w:r>
        <w:rPr>
          <w:rFonts w:hint="eastAsia" w:ascii="宋体" w:hAnsi="宋体" w:cs="宋体"/>
          <w:szCs w:val="21"/>
          <w:u w:val="single"/>
        </w:rPr>
        <w:t>协助承包人处理周边关系及环境保护事宜，如产生协调费用由责任方承担</w:t>
      </w:r>
      <w:r>
        <w:rPr>
          <w:rFonts w:hint="eastAsia" w:ascii="宋体" w:hAnsi="宋体" w:cs="宋体"/>
          <w:szCs w:val="21"/>
        </w:rPr>
        <w:t>。</w:t>
      </w:r>
    </w:p>
    <w:p>
      <w:pPr>
        <w:spacing w:line="360" w:lineRule="auto"/>
        <w:ind w:firstLine="420"/>
        <w:jc w:val="left"/>
        <w:rPr>
          <w:rFonts w:ascii="宋体" w:hAnsi="宋体" w:cs="宋体"/>
          <w:szCs w:val="21"/>
        </w:rPr>
      </w:pPr>
      <w:r>
        <w:rPr>
          <w:rFonts w:hint="eastAsia" w:ascii="宋体" w:hAnsi="宋体" w:cs="宋体"/>
          <w:szCs w:val="21"/>
        </w:rPr>
        <w:t>2) 发包人提供现场住宿条件：</w:t>
      </w:r>
      <w:r>
        <w:rPr>
          <w:rFonts w:hint="eastAsia" w:ascii="宋体" w:hAnsi="宋体" w:cs="宋体"/>
          <w:szCs w:val="21"/>
          <w:u w:val="single"/>
        </w:rPr>
        <w:t>发包人提供住宿用活动板房，其费用由承包人承担，如果为发包人提供的活动板房，在结算时，发包人按租赁活动板房价格扣除或由承包人直接支付。</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3）安全帽、服装统一由发包人定制，费用由承包人承担，在结算时扣除。</w:t>
      </w:r>
    </w:p>
    <w:p>
      <w:pPr>
        <w:spacing w:line="360" w:lineRule="auto"/>
        <w:jc w:val="left"/>
        <w:rPr>
          <w:rFonts w:ascii="宋体" w:hAnsi="宋体" w:cs="宋体"/>
          <w:szCs w:val="21"/>
        </w:rPr>
      </w:pPr>
      <w:r>
        <w:rPr>
          <w:rFonts w:hint="eastAsia" w:ascii="宋体" w:hAnsi="宋体" w:cs="宋体"/>
          <w:szCs w:val="21"/>
        </w:rPr>
        <w:t>2.5 资金来源证明及支付担保</w:t>
      </w:r>
    </w:p>
    <w:p>
      <w:pPr>
        <w:spacing w:line="360" w:lineRule="auto"/>
        <w:jc w:val="left"/>
        <w:rPr>
          <w:rFonts w:ascii="宋体" w:hAnsi="宋体" w:cs="宋体"/>
          <w:szCs w:val="21"/>
        </w:rPr>
      </w:pPr>
      <w:r>
        <w:rPr>
          <w:rFonts w:hint="eastAsia" w:ascii="宋体" w:hAnsi="宋体" w:cs="宋体"/>
          <w:szCs w:val="21"/>
        </w:rPr>
        <w:t>发包人是否提供支付担保：</w:t>
      </w:r>
      <w:r>
        <w:rPr>
          <w:rFonts w:hint="eastAsia" w:ascii="宋体" w:hAnsi="宋体" w:cs="宋体"/>
          <w:szCs w:val="21"/>
          <w:u w:val="single"/>
        </w:rPr>
        <w:t>否</w:t>
      </w:r>
      <w:r>
        <w:rPr>
          <w:rFonts w:hint="eastAsia" w:ascii="宋体" w:hAnsi="宋体" w:cs="宋体"/>
          <w:szCs w:val="21"/>
        </w:rPr>
        <w:t>。</w:t>
      </w:r>
    </w:p>
    <w:p>
      <w:pPr>
        <w:spacing w:line="360" w:lineRule="auto"/>
        <w:jc w:val="left"/>
        <w:rPr>
          <w:rFonts w:ascii="宋体" w:hAnsi="宋体" w:cs="宋体"/>
          <w:b/>
          <w:szCs w:val="21"/>
        </w:rPr>
      </w:pPr>
      <w:bookmarkStart w:id="276" w:name="_Toc351203635"/>
      <w:r>
        <w:rPr>
          <w:rFonts w:hint="eastAsia" w:ascii="宋体" w:hAnsi="宋体" w:cs="宋体"/>
          <w:szCs w:val="21"/>
        </w:rPr>
        <w:t>3</w:t>
      </w:r>
      <w:bookmarkStart w:id="277" w:name="_Toc297120458"/>
      <w:bookmarkStart w:id="278" w:name="_Toc292559363"/>
      <w:bookmarkStart w:id="279" w:name="_Toc296347157"/>
      <w:bookmarkStart w:id="280" w:name="_Toc296891198"/>
      <w:bookmarkStart w:id="281" w:name="_Toc296346659"/>
      <w:bookmarkStart w:id="282" w:name="_Toc296890986"/>
      <w:bookmarkStart w:id="283" w:name="_Toc296503158"/>
      <w:bookmarkStart w:id="284" w:name="_Toc296944497"/>
      <w:bookmarkStart w:id="285" w:name="_Toc297048344"/>
      <w:bookmarkStart w:id="286" w:name="_Toc292559868"/>
      <w:r>
        <w:rPr>
          <w:rFonts w:hint="eastAsia" w:ascii="宋体" w:hAnsi="宋体" w:cs="宋体"/>
          <w:szCs w:val="21"/>
        </w:rPr>
        <w:t>. 承包人</w:t>
      </w:r>
      <w:bookmarkEnd w:id="276"/>
    </w:p>
    <w:bookmarkEnd w:id="277"/>
    <w:bookmarkEnd w:id="278"/>
    <w:bookmarkEnd w:id="279"/>
    <w:bookmarkEnd w:id="280"/>
    <w:bookmarkEnd w:id="281"/>
    <w:bookmarkEnd w:id="282"/>
    <w:bookmarkEnd w:id="283"/>
    <w:bookmarkEnd w:id="284"/>
    <w:bookmarkEnd w:id="285"/>
    <w:bookmarkEnd w:id="286"/>
    <w:p>
      <w:pPr>
        <w:spacing w:line="360" w:lineRule="auto"/>
        <w:jc w:val="left"/>
        <w:rPr>
          <w:rFonts w:ascii="宋体" w:hAnsi="宋体" w:cs="宋体"/>
          <w:szCs w:val="21"/>
        </w:rPr>
      </w:pPr>
      <w:r>
        <w:rPr>
          <w:rFonts w:hint="eastAsia" w:ascii="宋体" w:hAnsi="宋体" w:cs="宋体"/>
          <w:szCs w:val="21"/>
        </w:rPr>
        <w:t>3.1 承包人的一般义务</w:t>
      </w:r>
    </w:p>
    <w:p>
      <w:pPr>
        <w:spacing w:line="360" w:lineRule="auto"/>
        <w:jc w:val="left"/>
        <w:rPr>
          <w:rFonts w:ascii="宋体" w:hAnsi="宋体" w:cs="宋体"/>
          <w:szCs w:val="21"/>
          <w:u w:val="single"/>
        </w:rPr>
      </w:pPr>
      <w:r>
        <w:rPr>
          <w:rFonts w:hint="eastAsia" w:ascii="宋体" w:hAnsi="宋体" w:cs="宋体"/>
          <w:kern w:val="0"/>
          <w:szCs w:val="21"/>
        </w:rPr>
        <w:t>（5）</w:t>
      </w:r>
      <w:r>
        <w:rPr>
          <w:rFonts w:hint="eastAsia" w:ascii="宋体" w:hAnsi="宋体" w:cs="宋体"/>
          <w:szCs w:val="21"/>
        </w:rPr>
        <w:t>承包人提交的竣工资料的内容：</w:t>
      </w:r>
      <w:r>
        <w:rPr>
          <w:rFonts w:hint="eastAsia" w:ascii="宋体" w:hAnsi="宋体" w:cs="宋体"/>
          <w:szCs w:val="21"/>
          <w:u w:val="single"/>
        </w:rPr>
        <w:t>按建设主管部门的相关规定</w:t>
      </w:r>
    </w:p>
    <w:p>
      <w:pPr>
        <w:spacing w:line="360" w:lineRule="auto"/>
        <w:jc w:val="left"/>
        <w:rPr>
          <w:rFonts w:ascii="宋体" w:hAnsi="宋体" w:cs="宋体"/>
          <w:szCs w:val="21"/>
        </w:rPr>
      </w:pPr>
      <w:r>
        <w:rPr>
          <w:rFonts w:hint="eastAsia" w:ascii="宋体" w:hAnsi="宋体" w:cs="宋体"/>
          <w:szCs w:val="21"/>
        </w:rPr>
        <w:t>承包人需要提交的竣工资料套数：</w:t>
      </w:r>
      <w:r>
        <w:rPr>
          <w:rFonts w:hint="eastAsia" w:ascii="宋体" w:hAnsi="宋体" w:cs="宋体"/>
          <w:szCs w:val="21"/>
          <w:u w:val="single"/>
        </w:rPr>
        <w:t>8套（含光盘）</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承包人提交的竣工资料的费用承担：</w:t>
      </w:r>
      <w:r>
        <w:rPr>
          <w:rFonts w:hint="eastAsia" w:ascii="宋体" w:hAnsi="宋体" w:cs="宋体"/>
          <w:szCs w:val="21"/>
          <w:u w:val="single"/>
        </w:rPr>
        <w:t xml:space="preserve">    承包人自行承担   </w:t>
      </w:r>
      <w:r>
        <w:rPr>
          <w:rFonts w:hint="eastAsia" w:ascii="宋体" w:hAnsi="宋体" w:cs="宋体"/>
          <w:szCs w:val="21"/>
        </w:rPr>
        <w:t>。</w:t>
      </w:r>
    </w:p>
    <w:p>
      <w:pPr>
        <w:spacing w:line="360" w:lineRule="auto"/>
        <w:jc w:val="left"/>
        <w:rPr>
          <w:rFonts w:ascii="宋体" w:hAnsi="宋体" w:cs="宋体"/>
          <w:kern w:val="0"/>
          <w:szCs w:val="21"/>
        </w:rPr>
      </w:pPr>
      <w:r>
        <w:rPr>
          <w:rFonts w:hint="eastAsia" w:ascii="宋体" w:hAnsi="宋体" w:cs="宋体"/>
          <w:kern w:val="0"/>
          <w:szCs w:val="21"/>
        </w:rPr>
        <w:t>（6）承包人应履行的其他义务：</w:t>
      </w:r>
    </w:p>
    <w:p>
      <w:pPr>
        <w:spacing w:line="360" w:lineRule="auto"/>
        <w:ind w:firstLine="420" w:firstLineChars="200"/>
        <w:rPr>
          <w:rFonts w:ascii="宋体" w:hAnsi="宋体" w:cs="宋体"/>
          <w:szCs w:val="21"/>
          <w:u w:val="single"/>
        </w:rPr>
      </w:pPr>
      <w:r>
        <w:rPr>
          <w:rFonts w:hint="eastAsia" w:ascii="宋体" w:hAnsi="宋体" w:cs="宋体"/>
          <w:szCs w:val="21"/>
        </w:rPr>
        <w:t>承包人应按合同约定以及监理人的指示，实施、完成全部工程，并修补工程中的任何缺陷。承包人应提供为完成合同工作所需的劳务、材料、施工设备、工程设备和其他物品，并负责临时设施的设计、建造、运行、维护、管理和拆除，所有设施必须报发包人同意后执行。</w:t>
      </w:r>
    </w:p>
    <w:p>
      <w:pPr>
        <w:spacing w:line="360" w:lineRule="auto"/>
        <w:ind w:firstLine="420" w:firstLineChars="200"/>
        <w:rPr>
          <w:rFonts w:ascii="宋体" w:hAnsi="宋体" w:cs="宋体"/>
          <w:szCs w:val="21"/>
          <w:u w:val="single"/>
        </w:rPr>
      </w:pPr>
      <w:r>
        <w:rPr>
          <w:rFonts w:hint="eastAsia" w:ascii="宋体" w:hAnsi="宋体" w:cs="宋体"/>
          <w:szCs w:val="21"/>
          <w:u w:val="single"/>
        </w:rPr>
        <w:t>1）施工进出场道路的保护，建筑弃渣外运（易撒漏物资采用密闭运输）及弃渣场地等均由承包人负责，费用由承包人承担。</w:t>
      </w:r>
    </w:p>
    <w:p>
      <w:pPr>
        <w:spacing w:line="360" w:lineRule="auto"/>
        <w:ind w:firstLine="420" w:firstLineChars="200"/>
        <w:rPr>
          <w:rFonts w:ascii="宋体" w:hAnsi="宋体" w:cs="宋体"/>
          <w:szCs w:val="21"/>
          <w:u w:val="single"/>
        </w:rPr>
      </w:pPr>
      <w:r>
        <w:rPr>
          <w:rFonts w:hint="eastAsia" w:ascii="宋体" w:hAnsi="宋体" w:cs="宋体"/>
          <w:szCs w:val="21"/>
          <w:u w:val="single"/>
        </w:rPr>
        <w:t>2）承包人有责任协助发包人处理与工程相关的市政、绿化、环保、交通、公安、施工扰民等涉及工程施工有关的工作。</w:t>
      </w:r>
    </w:p>
    <w:p>
      <w:pPr>
        <w:spacing w:line="360" w:lineRule="auto"/>
        <w:ind w:firstLine="420" w:firstLineChars="200"/>
        <w:rPr>
          <w:rFonts w:ascii="宋体" w:hAnsi="宋体" w:cs="宋体"/>
          <w:szCs w:val="21"/>
          <w:u w:val="single"/>
        </w:rPr>
      </w:pPr>
      <w:r>
        <w:rPr>
          <w:rFonts w:hint="eastAsia" w:ascii="宋体" w:hAnsi="宋体" w:cs="宋体"/>
          <w:szCs w:val="21"/>
          <w:u w:val="single"/>
        </w:rPr>
        <w:t>3）负责施工场地周围及地下管线和邻近建筑物、构筑物（含文物保护建筑）、古树名木及市政苗木的保护工作。</w:t>
      </w:r>
      <w:r>
        <w:rPr>
          <w:rFonts w:hint="eastAsia" w:ascii="宋体" w:hAnsi="宋体" w:cs="宋体"/>
          <w:kern w:val="0"/>
          <w:szCs w:val="21"/>
          <w:u w:val="single"/>
        </w:rPr>
        <w:t>由承包人负责实施。地下管网的临时保护费由发包人承担，因承包人原因造成的损失费由承包人承担。</w:t>
      </w:r>
    </w:p>
    <w:p>
      <w:pPr>
        <w:spacing w:line="360" w:lineRule="auto"/>
        <w:ind w:firstLine="420" w:firstLineChars="200"/>
        <w:rPr>
          <w:rFonts w:ascii="宋体" w:hAnsi="宋体" w:cs="宋体"/>
          <w:szCs w:val="21"/>
          <w:u w:val="single"/>
        </w:rPr>
      </w:pPr>
      <w:r>
        <w:rPr>
          <w:rFonts w:hint="eastAsia" w:ascii="宋体" w:hAnsi="宋体" w:cs="宋体"/>
          <w:szCs w:val="21"/>
          <w:u w:val="single"/>
        </w:rPr>
        <w:t>4）施工场地清洁卫生的要求：按《建设工程施工现场管理规定》、《重庆市房屋建筑和市政基础设施工程现场文明施工标准》（渝建发〔2008〕169号）及有关规定执行。施工中若因承包人责任造成的一切安全、责任事故，均由承包人负全部责任，并赔偿相应经济损失。</w:t>
      </w:r>
    </w:p>
    <w:p>
      <w:pPr>
        <w:spacing w:line="360" w:lineRule="auto"/>
        <w:ind w:firstLine="420" w:firstLineChars="200"/>
        <w:rPr>
          <w:rFonts w:ascii="宋体" w:hAnsi="宋体" w:cs="宋体"/>
          <w:szCs w:val="21"/>
          <w:u w:val="single"/>
        </w:rPr>
      </w:pPr>
      <w:r>
        <w:rPr>
          <w:rFonts w:hint="eastAsia" w:ascii="宋体" w:hAnsi="宋体" w:cs="宋体"/>
          <w:szCs w:val="21"/>
          <w:u w:val="single"/>
        </w:rPr>
        <w:t>5）施工用水、用电由承包人就近联系相关单位搭接或采取自备发电机解决，其费用已包含在投标报价中。本项目其他专业施工单位的配合协调工作由发包人负责，并承担相关费用。积极协调配合发包人工作安排，合理安排施工计划，严格按照建设规范施工，在保证安全和质量的前提下进行施工，服从发包人及监理单位的现场管理及监督，服从发包人的协调，做到人性化施工、文明施工。</w:t>
      </w:r>
    </w:p>
    <w:p>
      <w:pPr>
        <w:spacing w:line="360" w:lineRule="auto"/>
        <w:ind w:firstLine="420" w:firstLineChars="200"/>
        <w:rPr>
          <w:rFonts w:ascii="宋体" w:hAnsi="宋体" w:cs="宋体"/>
          <w:kern w:val="0"/>
          <w:szCs w:val="21"/>
          <w:u w:val="single"/>
        </w:rPr>
      </w:pPr>
      <w:r>
        <w:rPr>
          <w:rFonts w:hint="eastAsia" w:ascii="宋体" w:hAnsi="宋体" w:cs="宋体"/>
          <w:szCs w:val="21"/>
          <w:u w:val="single"/>
        </w:rPr>
        <w:t>6）应提供计划、报表的名称及完成时间：</w:t>
      </w:r>
      <w:r>
        <w:rPr>
          <w:rFonts w:hint="eastAsia" w:ascii="宋体" w:hAnsi="宋体" w:cs="宋体"/>
          <w:kern w:val="0"/>
          <w:szCs w:val="21"/>
          <w:u w:val="single"/>
        </w:rPr>
        <w:t>每周汇报完成进度，编写下周完成计划，进度款按节点完成后支付。</w:t>
      </w:r>
    </w:p>
    <w:p>
      <w:pPr>
        <w:spacing w:line="360" w:lineRule="auto"/>
        <w:ind w:firstLine="420" w:firstLineChars="200"/>
        <w:rPr>
          <w:rFonts w:ascii="宋体" w:hAnsi="宋体" w:cs="宋体"/>
          <w:kern w:val="0"/>
          <w:szCs w:val="21"/>
          <w:u w:val="single"/>
        </w:rPr>
      </w:pPr>
      <w:r>
        <w:rPr>
          <w:rFonts w:hint="eastAsia" w:ascii="宋体" w:hAnsi="宋体" w:cs="宋体"/>
          <w:kern w:val="0"/>
          <w:szCs w:val="21"/>
          <w:u w:val="single"/>
        </w:rPr>
        <w:t>7）</w:t>
      </w:r>
      <w:r>
        <w:rPr>
          <w:rFonts w:hint="eastAsia" w:ascii="宋体" w:hAnsi="宋体" w:cs="宋体"/>
          <w:szCs w:val="21"/>
          <w:u w:val="single"/>
        </w:rPr>
        <w:t>承担施工安全保卫工作及非夜间照明的责任和要求：</w:t>
      </w:r>
      <w:r>
        <w:rPr>
          <w:rFonts w:hint="eastAsia" w:ascii="宋体" w:hAnsi="宋体" w:cs="宋体"/>
          <w:kern w:val="0"/>
          <w:szCs w:val="21"/>
          <w:u w:val="single"/>
        </w:rPr>
        <w:t>与承包施工相关的安保工作及夜间照明由承包人负责，费用已包含在合同价款内。</w:t>
      </w:r>
    </w:p>
    <w:p>
      <w:pPr>
        <w:spacing w:line="360" w:lineRule="auto"/>
        <w:ind w:firstLine="420" w:firstLineChars="200"/>
        <w:rPr>
          <w:rFonts w:ascii="宋体" w:hAnsi="宋体" w:cs="宋体"/>
          <w:kern w:val="0"/>
          <w:szCs w:val="21"/>
          <w:u w:val="single"/>
        </w:rPr>
      </w:pPr>
      <w:r>
        <w:rPr>
          <w:rFonts w:hint="eastAsia" w:ascii="宋体" w:hAnsi="宋体" w:cs="宋体"/>
          <w:kern w:val="0"/>
          <w:szCs w:val="21"/>
          <w:u w:val="single"/>
        </w:rPr>
        <w:t>8）</w:t>
      </w:r>
      <w:r>
        <w:rPr>
          <w:rFonts w:hint="eastAsia" w:ascii="宋体" w:hAnsi="宋体" w:cs="宋体"/>
          <w:szCs w:val="21"/>
          <w:u w:val="single"/>
        </w:rPr>
        <w:t>已完工程成品保护的特殊要求及费用承担：</w:t>
      </w:r>
      <w:r>
        <w:rPr>
          <w:rFonts w:hint="eastAsia" w:ascii="宋体" w:hAnsi="宋体" w:cs="宋体"/>
          <w:kern w:val="0"/>
          <w:szCs w:val="21"/>
          <w:u w:val="single"/>
        </w:rPr>
        <w:t>在竣工验收并正式移交之前由承包人负责并承担所有费用。</w:t>
      </w:r>
    </w:p>
    <w:p>
      <w:pPr>
        <w:spacing w:line="360" w:lineRule="auto"/>
        <w:jc w:val="left"/>
        <w:rPr>
          <w:rFonts w:ascii="宋体" w:hAnsi="宋体" w:cs="宋体"/>
          <w:szCs w:val="21"/>
        </w:rPr>
      </w:pPr>
      <w:r>
        <w:rPr>
          <w:rFonts w:hint="eastAsia" w:ascii="宋体" w:hAnsi="宋体" w:cs="宋体"/>
          <w:szCs w:val="21"/>
        </w:rPr>
        <w:t>3.2 项目经理</w:t>
      </w:r>
    </w:p>
    <w:p>
      <w:pPr>
        <w:spacing w:line="360" w:lineRule="auto"/>
        <w:jc w:val="left"/>
        <w:rPr>
          <w:rFonts w:ascii="宋体" w:hAnsi="宋体" w:cs="宋体"/>
          <w:szCs w:val="21"/>
        </w:rPr>
      </w:pPr>
      <w:r>
        <w:rPr>
          <w:rFonts w:hint="eastAsia" w:ascii="宋体" w:hAnsi="宋体" w:cs="宋体"/>
          <w:kern w:val="0"/>
          <w:szCs w:val="21"/>
        </w:rPr>
        <w:t xml:space="preserve">3.2.1 </w:t>
      </w:r>
      <w:r>
        <w:rPr>
          <w:rFonts w:hint="eastAsia" w:ascii="宋体" w:hAnsi="宋体" w:cs="宋体"/>
          <w:szCs w:val="21"/>
        </w:rPr>
        <w:t>项目经理及技术负责人：</w:t>
      </w:r>
    </w:p>
    <w:p>
      <w:pPr>
        <w:spacing w:line="360" w:lineRule="auto"/>
        <w:jc w:val="left"/>
        <w:rPr>
          <w:rFonts w:ascii="宋体" w:hAnsi="宋体" w:cs="宋体"/>
          <w:szCs w:val="21"/>
        </w:rPr>
      </w:pPr>
      <w:r>
        <w:rPr>
          <w:rFonts w:hint="eastAsia" w:ascii="宋体" w:hAnsi="宋体" w:cs="宋体"/>
          <w:szCs w:val="21"/>
        </w:rPr>
        <w:t>项目经理姓名：</w:t>
      </w:r>
      <w:r>
        <w:rPr>
          <w:rFonts w:hint="eastAsia" w:ascii="宋体" w:hAnsi="宋体" w:cs="宋体"/>
          <w:szCs w:val="21"/>
          <w:u w:val="single"/>
        </w:rPr>
        <w:t></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技术负责人姓名：</w:t>
      </w:r>
      <w:r>
        <w:rPr>
          <w:rFonts w:hint="eastAsia" w:ascii="宋体" w:hAnsi="宋体" w:cs="宋体"/>
          <w:szCs w:val="21"/>
          <w:u w:val="single"/>
        </w:rPr>
        <w:t></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承包人对项目经理的授权范围如下：</w:t>
      </w:r>
      <w:r>
        <w:rPr>
          <w:rFonts w:hint="eastAsia" w:ascii="宋体" w:hAnsi="宋体" w:cs="宋体"/>
          <w:szCs w:val="21"/>
          <w:u w:val="single"/>
        </w:rPr>
        <w:t></w:t>
      </w:r>
      <w:r>
        <w:rPr>
          <w:rFonts w:hint="eastAsia" w:ascii="宋体" w:hAnsi="宋体" w:cs="宋体"/>
          <w:szCs w:val="21"/>
        </w:rPr>
        <w:t>。</w:t>
      </w:r>
    </w:p>
    <w:p>
      <w:pPr>
        <w:spacing w:line="360" w:lineRule="auto"/>
        <w:jc w:val="left"/>
        <w:rPr>
          <w:rFonts w:ascii="宋体" w:hAnsi="宋体" w:cs="宋体"/>
          <w:kern w:val="0"/>
          <w:szCs w:val="21"/>
        </w:rPr>
      </w:pPr>
      <w:r>
        <w:rPr>
          <w:rFonts w:hint="eastAsia" w:ascii="宋体" w:hAnsi="宋体" w:cs="宋体"/>
          <w:kern w:val="0"/>
          <w:szCs w:val="21"/>
        </w:rPr>
        <w:t>关于项目经理每月在施工现场的时间要求：</w:t>
      </w:r>
      <w:r>
        <w:rPr>
          <w:rFonts w:hint="eastAsia" w:ascii="宋体" w:hAnsi="宋体" w:cs="宋体"/>
          <w:szCs w:val="21"/>
          <w:u w:val="single"/>
        </w:rPr>
        <w:t>每月在现场的时间不少于22天</w:t>
      </w:r>
      <w:r>
        <w:rPr>
          <w:rFonts w:hint="eastAsia" w:ascii="宋体" w:hAnsi="宋体" w:cs="宋体"/>
          <w:szCs w:val="21"/>
        </w:rPr>
        <w:t>。</w:t>
      </w:r>
    </w:p>
    <w:p>
      <w:pPr>
        <w:spacing w:line="360" w:lineRule="auto"/>
        <w:jc w:val="left"/>
        <w:rPr>
          <w:rFonts w:ascii="宋体" w:hAnsi="宋体" w:cs="宋体"/>
          <w:kern w:val="0"/>
          <w:szCs w:val="21"/>
        </w:rPr>
      </w:pPr>
      <w:r>
        <w:rPr>
          <w:rFonts w:hint="eastAsia" w:ascii="宋体" w:hAnsi="宋体" w:cs="宋体"/>
          <w:kern w:val="0"/>
          <w:szCs w:val="21"/>
        </w:rPr>
        <w:t>承包人未提交劳动合同，以及没有为项目经理缴纳社会保险证明的违约责任：</w:t>
      </w:r>
      <w:r>
        <w:rPr>
          <w:rFonts w:hint="eastAsia" w:ascii="宋体" w:hAnsi="宋体" w:cs="宋体"/>
          <w:szCs w:val="21"/>
          <w:u w:val="single"/>
        </w:rPr>
        <w:t>发包人将收取承包人违约金1万元，并有权要求承包人更换项目经理。</w:t>
      </w:r>
    </w:p>
    <w:p>
      <w:pPr>
        <w:spacing w:line="360" w:lineRule="auto"/>
        <w:jc w:val="left"/>
        <w:rPr>
          <w:rFonts w:ascii="宋体" w:hAnsi="宋体" w:cs="宋体"/>
          <w:szCs w:val="21"/>
          <w:u w:val="single"/>
        </w:rPr>
      </w:pPr>
      <w:r>
        <w:rPr>
          <w:rFonts w:hint="eastAsia" w:ascii="宋体" w:hAnsi="宋体" w:cs="宋体"/>
          <w:kern w:val="0"/>
          <w:szCs w:val="21"/>
        </w:rPr>
        <w:t>项目经理未经批准，擅自离开施工现场的违约责任：</w:t>
      </w:r>
      <w:r>
        <w:rPr>
          <w:rFonts w:hint="eastAsia" w:ascii="宋体" w:hAnsi="宋体" w:cs="宋体"/>
          <w:szCs w:val="21"/>
          <w:u w:val="single"/>
        </w:rPr>
        <w:t>项目经理代表擅自离岗一月内累计达5天以上，发包人将收取承包人违约金5万元。</w:t>
      </w:r>
    </w:p>
    <w:p>
      <w:pPr>
        <w:spacing w:line="360" w:lineRule="auto"/>
        <w:jc w:val="left"/>
        <w:rPr>
          <w:rFonts w:ascii="宋体" w:hAnsi="宋体" w:cs="宋体"/>
          <w:szCs w:val="21"/>
        </w:rPr>
      </w:pPr>
      <w:r>
        <w:rPr>
          <w:rFonts w:hint="eastAsia" w:ascii="宋体" w:hAnsi="宋体" w:cs="宋体"/>
          <w:szCs w:val="21"/>
        </w:rPr>
        <w:t>3.2.3 承包人擅自更换项目经理的违约责任：</w:t>
      </w:r>
      <w:r>
        <w:rPr>
          <w:rFonts w:hint="eastAsia" w:ascii="宋体" w:hAnsi="宋体" w:cs="宋体"/>
          <w:szCs w:val="21"/>
          <w:u w:val="single"/>
        </w:rPr>
        <w:t>若未经发包人同意，承包单位擅自更换项目经理及现场技术负责人，除处以相应处罚外，发包人有权终止合同，其履约保证金不予退还。</w:t>
      </w:r>
    </w:p>
    <w:p>
      <w:pPr>
        <w:spacing w:line="360" w:lineRule="auto"/>
        <w:jc w:val="left"/>
        <w:rPr>
          <w:rFonts w:ascii="宋体" w:hAnsi="宋体" w:cs="宋体"/>
          <w:szCs w:val="21"/>
        </w:rPr>
      </w:pPr>
      <w:r>
        <w:rPr>
          <w:rFonts w:hint="eastAsia" w:ascii="宋体" w:hAnsi="宋体" w:cs="宋体"/>
          <w:szCs w:val="21"/>
        </w:rPr>
        <w:t>3.2.4 承包人无正当理由拒绝更换项目经理的违约责任：</w:t>
      </w:r>
      <w:r>
        <w:rPr>
          <w:rFonts w:hint="eastAsia" w:ascii="宋体" w:hAnsi="宋体" w:cs="宋体"/>
          <w:szCs w:val="21"/>
          <w:u w:val="single"/>
        </w:rPr>
        <w:t>发包人有权终止合同，其履约保证金不予退还</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3.2.5 因承包人原因更换项目经理的违约责任：</w:t>
      </w:r>
      <w:r>
        <w:rPr>
          <w:rFonts w:hint="eastAsia" w:ascii="宋体" w:hAnsi="宋体" w:cs="宋体"/>
          <w:szCs w:val="21"/>
          <w:u w:val="single"/>
        </w:rPr>
        <w:t>每更换一次，发包人将对承包单位处以</w:t>
      </w:r>
      <w:r>
        <w:rPr>
          <w:rFonts w:hint="eastAsia" w:ascii="宋体" w:hAnsi="宋体" w:cs="宋体"/>
          <w:b/>
          <w:szCs w:val="21"/>
          <w:u w:val="single"/>
        </w:rPr>
        <w:t>5万元/人次</w:t>
      </w:r>
      <w:r>
        <w:rPr>
          <w:rFonts w:hint="eastAsia" w:ascii="宋体" w:hAnsi="宋体" w:cs="宋体"/>
          <w:szCs w:val="21"/>
          <w:u w:val="single"/>
        </w:rPr>
        <w:t>的违约处罚。</w:t>
      </w:r>
    </w:p>
    <w:p>
      <w:pPr>
        <w:spacing w:line="360" w:lineRule="auto"/>
        <w:jc w:val="left"/>
        <w:rPr>
          <w:rFonts w:ascii="宋体" w:hAnsi="宋体" w:cs="宋体"/>
          <w:szCs w:val="21"/>
        </w:rPr>
      </w:pPr>
      <w:r>
        <w:rPr>
          <w:rFonts w:hint="eastAsia" w:ascii="宋体" w:hAnsi="宋体" w:cs="宋体"/>
          <w:szCs w:val="21"/>
        </w:rPr>
        <w:t>3.3 承包人人员</w:t>
      </w:r>
    </w:p>
    <w:p>
      <w:pPr>
        <w:spacing w:line="360" w:lineRule="auto"/>
        <w:jc w:val="left"/>
        <w:rPr>
          <w:rFonts w:ascii="宋体" w:hAnsi="宋体" w:cs="宋体"/>
          <w:szCs w:val="21"/>
        </w:rPr>
      </w:pPr>
      <w:r>
        <w:rPr>
          <w:rFonts w:hint="eastAsia" w:ascii="宋体" w:hAnsi="宋体" w:cs="宋体"/>
          <w:szCs w:val="21"/>
        </w:rPr>
        <w:t>3.3.1 承包人提交项目管理机构及施工现场管理人员安排报告的期限：</w:t>
      </w:r>
      <w:r>
        <w:rPr>
          <w:rFonts w:hint="eastAsia" w:ascii="宋体" w:hAnsi="宋体" w:cs="宋体"/>
          <w:kern w:val="0"/>
          <w:szCs w:val="21"/>
          <w:u w:val="single"/>
        </w:rPr>
        <w:t>承包人应在接到开工通知后7天内，向发包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w:t>
      </w:r>
    </w:p>
    <w:p>
      <w:pPr>
        <w:spacing w:line="360" w:lineRule="auto"/>
        <w:jc w:val="left"/>
        <w:rPr>
          <w:rFonts w:ascii="宋体" w:hAnsi="宋体" w:cs="宋体"/>
          <w:szCs w:val="21"/>
        </w:rPr>
      </w:pPr>
      <w:r>
        <w:rPr>
          <w:rFonts w:hint="eastAsia" w:ascii="宋体" w:hAnsi="宋体" w:cs="宋体"/>
          <w:szCs w:val="21"/>
        </w:rPr>
        <w:t>3.3.3 承包人无正当理由拒绝撤换主要施工管理人员的违约责任：</w:t>
      </w:r>
      <w:r>
        <w:rPr>
          <w:rFonts w:hint="eastAsia" w:ascii="宋体" w:hAnsi="宋体" w:cs="宋体"/>
          <w:szCs w:val="21"/>
          <w:u w:val="single"/>
        </w:rPr>
        <w:t>发包人有权终止合同，其履约保证金不予退还</w:t>
      </w:r>
      <w:r>
        <w:rPr>
          <w:rFonts w:hint="eastAsia" w:ascii="宋体" w:hAnsi="宋体" w:cs="宋体"/>
          <w:szCs w:val="21"/>
        </w:rPr>
        <w:t>。</w:t>
      </w:r>
    </w:p>
    <w:p>
      <w:pPr>
        <w:spacing w:line="360" w:lineRule="auto"/>
        <w:jc w:val="left"/>
        <w:rPr>
          <w:rFonts w:ascii="宋体" w:hAnsi="宋体" w:cs="宋体"/>
          <w:szCs w:val="21"/>
          <w:u w:val="single"/>
        </w:rPr>
      </w:pPr>
      <w:r>
        <w:rPr>
          <w:rFonts w:hint="eastAsia" w:ascii="宋体" w:hAnsi="宋体" w:cs="宋体"/>
          <w:szCs w:val="21"/>
        </w:rPr>
        <w:t xml:space="preserve">3.3.4 承包人主要施工管理人员离开施工现场的批准要求： </w:t>
      </w:r>
      <w:r>
        <w:rPr>
          <w:rFonts w:hint="eastAsia" w:ascii="宋体" w:hAnsi="宋体" w:cs="宋体"/>
          <w:kern w:val="0"/>
          <w:szCs w:val="21"/>
          <w:u w:val="single"/>
        </w:rPr>
        <w:t>承包人的主要施工管理人员离开施工现场每月累计不超过5天的，应报发包人同意；离开施工现场每月累计超过5天的，应通知发包人，并征得发包人书面同意。主要施工管理人员离开施工现场前应指定一名有经验的人员临时代行其职责，该人员应具备履行相应职责的资格和能力，且应征得发包人的同意</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3.3.5承包人擅自更换主要施工管理人员的违约责任：</w:t>
      </w:r>
      <w:r>
        <w:rPr>
          <w:rFonts w:hint="eastAsia" w:ascii="宋体" w:hAnsi="宋体" w:cs="宋体"/>
          <w:kern w:val="0"/>
          <w:szCs w:val="21"/>
          <w:u w:val="single"/>
        </w:rPr>
        <w:t>发包人将按每人每天每次收取承包人违约金1000元。违约金在支付当期工程款项中扣除。</w:t>
      </w:r>
    </w:p>
    <w:p>
      <w:pPr>
        <w:spacing w:line="360" w:lineRule="auto"/>
        <w:jc w:val="left"/>
        <w:rPr>
          <w:rFonts w:ascii="宋体" w:hAnsi="宋体" w:cs="宋体"/>
          <w:szCs w:val="21"/>
        </w:rPr>
      </w:pPr>
      <w:r>
        <w:rPr>
          <w:rFonts w:hint="eastAsia" w:ascii="宋体" w:hAnsi="宋体" w:cs="宋体"/>
          <w:szCs w:val="21"/>
        </w:rPr>
        <w:t>承包人主要施工管理人员擅自离开施工现场的违约责任：</w:t>
      </w:r>
      <w:r>
        <w:rPr>
          <w:rFonts w:hint="eastAsia" w:ascii="宋体" w:hAnsi="宋体" w:cs="宋体"/>
          <w:kern w:val="0"/>
          <w:szCs w:val="21"/>
          <w:u w:val="single"/>
        </w:rPr>
        <w:t>承包人主要施工管理人员擅自离岗一周内累计达2天以上，发包人将按每人每天每次收取承包人违约金5000元。</w:t>
      </w:r>
    </w:p>
    <w:p>
      <w:pPr>
        <w:spacing w:line="360" w:lineRule="auto"/>
        <w:jc w:val="left"/>
        <w:rPr>
          <w:rFonts w:ascii="宋体" w:hAnsi="宋体" w:cs="宋体"/>
          <w:szCs w:val="21"/>
        </w:rPr>
      </w:pPr>
      <w:r>
        <w:rPr>
          <w:rFonts w:hint="eastAsia" w:ascii="宋体" w:hAnsi="宋体" w:cs="宋体"/>
          <w:szCs w:val="21"/>
        </w:rPr>
        <w:t>3</w:t>
      </w:r>
      <w:bookmarkStart w:id="287" w:name="_Toc296891199"/>
      <w:bookmarkStart w:id="288" w:name="_Toc296503159"/>
      <w:bookmarkStart w:id="289" w:name="_Toc296347158"/>
      <w:bookmarkStart w:id="290" w:name="_Toc297048345"/>
      <w:bookmarkStart w:id="291" w:name="_Toc292559869"/>
      <w:bookmarkStart w:id="292" w:name="_Toc300934945"/>
      <w:bookmarkStart w:id="293" w:name="_Toc297216151"/>
      <w:bookmarkStart w:id="294" w:name="_Toc292559364"/>
      <w:bookmarkStart w:id="295" w:name="_Toc297120459"/>
      <w:bookmarkStart w:id="296" w:name="_Toc296346660"/>
      <w:bookmarkStart w:id="297" w:name="_Toc304295523"/>
      <w:bookmarkStart w:id="298" w:name="_Toc297123492"/>
      <w:bookmarkStart w:id="299" w:name="_Toc296944498"/>
      <w:bookmarkStart w:id="300" w:name="_Toc296890987"/>
      <w:bookmarkStart w:id="301" w:name="_Toc303539102"/>
      <w:bookmarkStart w:id="302" w:name="_Toc312677988"/>
      <w:r>
        <w:rPr>
          <w:rFonts w:hint="eastAsia" w:ascii="宋体" w:hAnsi="宋体" w:cs="宋体"/>
          <w:szCs w:val="21"/>
        </w:rPr>
        <w:t>.5 分包</w:t>
      </w:r>
    </w:p>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Pr>
        <w:spacing w:line="360" w:lineRule="auto"/>
        <w:jc w:val="left"/>
        <w:rPr>
          <w:rFonts w:ascii="宋体" w:hAnsi="宋体" w:cs="宋体"/>
          <w:szCs w:val="21"/>
        </w:rPr>
      </w:pPr>
      <w:r>
        <w:rPr>
          <w:rFonts w:hint="eastAsia" w:ascii="宋体" w:hAnsi="宋体" w:cs="宋体"/>
          <w:szCs w:val="21"/>
        </w:rPr>
        <w:t>3</w:t>
      </w:r>
      <w:bookmarkStart w:id="303" w:name="_Toc296503160"/>
      <w:bookmarkStart w:id="304" w:name="_Toc297216152"/>
      <w:bookmarkStart w:id="305" w:name="_Toc296890988"/>
      <w:bookmarkStart w:id="306" w:name="_Toc296347159"/>
      <w:bookmarkStart w:id="307" w:name="_Toc296346661"/>
      <w:bookmarkStart w:id="308" w:name="_Toc303539103"/>
      <w:bookmarkStart w:id="309" w:name="_Toc296891200"/>
      <w:bookmarkStart w:id="310" w:name="_Toc297123493"/>
      <w:bookmarkStart w:id="311" w:name="_Toc292559870"/>
      <w:bookmarkStart w:id="312" w:name="_Toc304295524"/>
      <w:bookmarkStart w:id="313" w:name="_Toc292559365"/>
      <w:bookmarkStart w:id="314" w:name="_Toc296944499"/>
      <w:bookmarkStart w:id="315" w:name="_Toc300934946"/>
      <w:bookmarkStart w:id="316" w:name="_Toc297120460"/>
      <w:bookmarkStart w:id="317" w:name="_Toc297048346"/>
      <w:bookmarkStart w:id="318" w:name="_Toc312677989"/>
      <w:bookmarkStart w:id="319" w:name="_Toc318581158"/>
      <w:r>
        <w:rPr>
          <w:rFonts w:hint="eastAsia" w:ascii="宋体" w:hAnsi="宋体" w:cs="宋体"/>
          <w:szCs w:val="21"/>
        </w:rPr>
        <w:t>.5.1 分包的一般约定</w:t>
      </w:r>
    </w:p>
    <w:p>
      <w:pPr>
        <w:spacing w:line="360" w:lineRule="auto"/>
        <w:jc w:val="left"/>
        <w:rPr>
          <w:rFonts w:ascii="宋体" w:hAnsi="宋体" w:cs="宋体"/>
          <w:szCs w:val="21"/>
        </w:rPr>
      </w:pPr>
      <w:r>
        <w:rPr>
          <w:rFonts w:hint="eastAsia" w:ascii="宋体" w:hAnsi="宋体" w:cs="宋体"/>
          <w:szCs w:val="21"/>
        </w:rPr>
        <w:t>禁止分包的工程包括：</w:t>
      </w:r>
      <w:r>
        <w:rPr>
          <w:rFonts w:hint="eastAsia" w:ascii="宋体" w:hAnsi="宋体" w:cs="宋体"/>
          <w:szCs w:val="21"/>
          <w:u w:val="single"/>
        </w:rPr>
        <w:t xml:space="preserve"> 未经发包人同意，本工程所有工作内容不得分包</w:t>
      </w:r>
      <w:r>
        <w:rPr>
          <w:rFonts w:hint="eastAsia" w:ascii="宋体" w:hAnsi="宋体" w:cs="宋体"/>
          <w:szCs w:val="21"/>
        </w:rPr>
        <w:t>。</w:t>
      </w:r>
    </w:p>
    <w:p>
      <w:pPr>
        <w:spacing w:line="360" w:lineRule="auto"/>
        <w:jc w:val="left"/>
        <w:rPr>
          <w:rFonts w:ascii="宋体" w:hAnsi="宋体" w:cs="宋体"/>
          <w:szCs w:val="21"/>
          <w:u w:val="single"/>
        </w:rPr>
      </w:pPr>
      <w:r>
        <w:rPr>
          <w:rFonts w:hint="eastAsia" w:ascii="宋体" w:hAnsi="宋体" w:cs="宋体"/>
          <w:szCs w:val="21"/>
        </w:rPr>
        <w:t>主体结构、关键性工作的范围：</w:t>
      </w:r>
      <w:r>
        <w:rPr>
          <w:rFonts w:hint="eastAsia" w:ascii="宋体" w:hAnsi="宋体" w:cs="宋体"/>
          <w:szCs w:val="21"/>
          <w:u w:val="single"/>
        </w:rPr>
        <w:t>本工程所有工作内容</w:t>
      </w:r>
      <w:r>
        <w:rPr>
          <w:rFonts w:hint="eastAsia" w:ascii="宋体" w:hAnsi="宋体" w:cs="宋体"/>
          <w:szCs w:val="21"/>
        </w:rPr>
        <w:t>。</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Start w:id="320" w:name="_Toc297123494"/>
      <w:bookmarkStart w:id="321" w:name="_Toc303539104"/>
      <w:bookmarkStart w:id="322" w:name="_Toc304295525"/>
      <w:bookmarkStart w:id="323" w:name="_Toc297048347"/>
      <w:bookmarkStart w:id="324" w:name="_Toc296891201"/>
      <w:bookmarkStart w:id="325" w:name="_Toc297216153"/>
      <w:bookmarkStart w:id="326" w:name="_Toc300934947"/>
      <w:bookmarkStart w:id="327" w:name="_Toc296944500"/>
      <w:bookmarkStart w:id="328" w:name="_Toc296346662"/>
      <w:bookmarkStart w:id="329" w:name="_Toc296347160"/>
      <w:bookmarkStart w:id="330" w:name="_Toc296890989"/>
      <w:bookmarkStart w:id="331" w:name="_Toc297120461"/>
      <w:bookmarkStart w:id="332" w:name="_Toc296503161"/>
    </w:p>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pPr>
        <w:spacing w:line="360" w:lineRule="auto"/>
        <w:jc w:val="left"/>
        <w:rPr>
          <w:rFonts w:ascii="宋体" w:hAnsi="宋体" w:cs="宋体"/>
          <w:szCs w:val="21"/>
        </w:rPr>
      </w:pPr>
      <w:r>
        <w:rPr>
          <w:rFonts w:hint="eastAsia" w:ascii="宋体" w:hAnsi="宋体" w:cs="宋体"/>
          <w:szCs w:val="21"/>
        </w:rPr>
        <w:t>3</w:t>
      </w:r>
      <w:bookmarkStart w:id="333" w:name="_Toc312677990"/>
      <w:bookmarkStart w:id="334" w:name="_Toc318581159"/>
      <w:r>
        <w:rPr>
          <w:rFonts w:hint="eastAsia" w:ascii="宋体" w:hAnsi="宋体" w:cs="宋体"/>
          <w:szCs w:val="21"/>
        </w:rPr>
        <w:t>.5.2分包的确定</w:t>
      </w:r>
    </w:p>
    <w:p>
      <w:pPr>
        <w:spacing w:line="360" w:lineRule="auto"/>
        <w:jc w:val="left"/>
        <w:rPr>
          <w:rFonts w:ascii="宋体" w:hAnsi="宋体" w:cs="宋体"/>
          <w:szCs w:val="21"/>
          <w:u w:val="single"/>
        </w:rPr>
      </w:pPr>
      <w:r>
        <w:rPr>
          <w:rFonts w:hint="eastAsia" w:ascii="宋体" w:hAnsi="宋体" w:cs="宋体"/>
          <w:szCs w:val="21"/>
        </w:rPr>
        <w:t>允许分包的专业工程包括：</w:t>
      </w:r>
      <w:r>
        <w:rPr>
          <w:rFonts w:hint="eastAsia" w:ascii="宋体" w:hAnsi="宋体" w:cs="宋体"/>
          <w:szCs w:val="21"/>
          <w:u w:val="single"/>
        </w:rPr>
        <w:t>/</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其他关于分包的约定：</w:t>
      </w:r>
      <w:r>
        <w:rPr>
          <w:rFonts w:hint="eastAsia" w:ascii="宋体" w:hAnsi="宋体" w:cs="宋体"/>
          <w:szCs w:val="21"/>
          <w:u w:val="single"/>
        </w:rPr>
        <w:t>/</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3.5.4 分包合同价款</w:t>
      </w:r>
    </w:p>
    <w:p>
      <w:pPr>
        <w:spacing w:line="360" w:lineRule="auto"/>
        <w:jc w:val="left"/>
        <w:rPr>
          <w:rFonts w:ascii="宋体" w:hAnsi="宋体" w:cs="宋体"/>
          <w:szCs w:val="21"/>
        </w:rPr>
      </w:pPr>
      <w:r>
        <w:rPr>
          <w:rFonts w:hint="eastAsia" w:ascii="宋体" w:hAnsi="宋体" w:cs="宋体"/>
          <w:szCs w:val="21"/>
        </w:rPr>
        <w:t>关于分包合同价款支付的约定：</w:t>
      </w:r>
      <w:r>
        <w:rPr>
          <w:rFonts w:hint="eastAsia" w:ascii="宋体" w:hAnsi="宋体" w:cs="宋体"/>
          <w:szCs w:val="21"/>
          <w:u w:val="single"/>
        </w:rPr>
        <w:t>/</w:t>
      </w:r>
      <w:r>
        <w:rPr>
          <w:rFonts w:hint="eastAsia" w:ascii="宋体" w:hAnsi="宋体" w:cs="宋体"/>
          <w:szCs w:val="21"/>
        </w:rPr>
        <w:t>。</w:t>
      </w:r>
    </w:p>
    <w:bookmarkEnd w:id="333"/>
    <w:bookmarkEnd w:id="334"/>
    <w:p>
      <w:pPr>
        <w:spacing w:line="360" w:lineRule="auto"/>
        <w:jc w:val="left"/>
        <w:rPr>
          <w:rFonts w:ascii="宋体" w:hAnsi="宋体" w:cs="宋体"/>
          <w:szCs w:val="21"/>
        </w:rPr>
      </w:pPr>
      <w:r>
        <w:rPr>
          <w:rFonts w:hint="eastAsia" w:ascii="宋体" w:hAnsi="宋体" w:cs="宋体"/>
          <w:szCs w:val="21"/>
        </w:rPr>
        <w:t>3.6 工程照管与成品、半成品保护</w:t>
      </w:r>
    </w:p>
    <w:p>
      <w:pPr>
        <w:spacing w:line="360" w:lineRule="auto"/>
        <w:jc w:val="left"/>
        <w:rPr>
          <w:rFonts w:ascii="宋体" w:hAnsi="宋体" w:cs="宋体"/>
          <w:kern w:val="0"/>
          <w:szCs w:val="21"/>
          <w:u w:val="single"/>
        </w:rPr>
      </w:pPr>
      <w:r>
        <w:rPr>
          <w:rFonts w:hint="eastAsia" w:ascii="宋体" w:hAnsi="宋体" w:cs="宋体"/>
          <w:kern w:val="0"/>
          <w:szCs w:val="21"/>
        </w:rPr>
        <w:t>承包人负责照管工程及工程相关的材料、工程设备的起始时间：</w:t>
      </w:r>
      <w:r>
        <w:rPr>
          <w:rFonts w:hint="eastAsia" w:ascii="宋体" w:hAnsi="宋体" w:cs="宋体"/>
          <w:kern w:val="0"/>
          <w:szCs w:val="21"/>
          <w:u w:val="single"/>
        </w:rPr>
        <w:t>自发包人向承包人移交施工现场之日起，承包人应负责照管工程及工程相关的材料、工程设备，直到颁发工程接收证书之日止。</w:t>
      </w:r>
    </w:p>
    <w:p>
      <w:pPr>
        <w:spacing w:line="360" w:lineRule="auto"/>
        <w:jc w:val="left"/>
        <w:rPr>
          <w:rFonts w:ascii="宋体" w:hAnsi="宋体" w:cs="宋体"/>
          <w:szCs w:val="21"/>
        </w:rPr>
      </w:pPr>
      <w:r>
        <w:rPr>
          <w:rFonts w:hint="eastAsia" w:ascii="宋体" w:hAnsi="宋体" w:cs="宋体"/>
          <w:szCs w:val="21"/>
        </w:rPr>
        <w:t>3.7 履约担保</w:t>
      </w:r>
    </w:p>
    <w:p>
      <w:pPr>
        <w:spacing w:line="360" w:lineRule="auto"/>
        <w:jc w:val="left"/>
        <w:rPr>
          <w:rFonts w:ascii="宋体" w:hAnsi="宋体" w:cs="宋体"/>
          <w:szCs w:val="21"/>
        </w:rPr>
      </w:pPr>
      <w:r>
        <w:rPr>
          <w:rFonts w:hint="eastAsia" w:ascii="宋体" w:hAnsi="宋体" w:cs="宋体"/>
          <w:szCs w:val="21"/>
        </w:rPr>
        <w:t>承包人是否提供履约担保：</w:t>
      </w:r>
      <w:r>
        <w:rPr>
          <w:rFonts w:hint="eastAsia" w:ascii="宋体" w:hAnsi="宋体" w:cs="宋体"/>
          <w:szCs w:val="21"/>
          <w:u w:val="single"/>
        </w:rPr>
        <w:t xml:space="preserve">  是  </w:t>
      </w:r>
      <w:r>
        <w:rPr>
          <w:rFonts w:hint="eastAsia" w:ascii="宋体" w:hAnsi="宋体" w:cs="宋体"/>
          <w:szCs w:val="21"/>
        </w:rPr>
        <w:t>。</w:t>
      </w:r>
    </w:p>
    <w:p>
      <w:pPr>
        <w:spacing w:line="360" w:lineRule="auto"/>
        <w:ind w:firstLine="420" w:firstLineChars="200"/>
        <w:rPr>
          <w:rFonts w:ascii="宋体" w:hAnsi="宋体" w:cs="宋体"/>
          <w:szCs w:val="21"/>
        </w:rPr>
      </w:pPr>
      <w:r>
        <w:rPr>
          <w:rFonts w:hint="eastAsia" w:ascii="宋体" w:hAnsi="宋体" w:cs="宋体"/>
          <w:szCs w:val="21"/>
        </w:rPr>
        <w:t>3.7.1乙方向甲方缴纳</w:t>
      </w:r>
      <w:r>
        <w:rPr>
          <w:rFonts w:hint="eastAsia" w:ascii="宋体" w:hAnsi="宋体" w:cs="宋体"/>
          <w:szCs w:val="21"/>
          <w:u w:val="single"/>
        </w:rPr>
        <w:t>合同金额的5%现金或银行履约保函履约保证金</w:t>
      </w:r>
      <w:r>
        <w:rPr>
          <w:rFonts w:hint="eastAsia" w:ascii="宋体" w:hAnsi="宋体" w:cs="宋体"/>
          <w:szCs w:val="21"/>
        </w:rPr>
        <w:t>作为乙方履行合同约定全部义务的担保，履约保证若采用银行保函，需采用签订本合同的基本账户开具。</w:t>
      </w:r>
    </w:p>
    <w:p>
      <w:pPr>
        <w:spacing w:line="360" w:lineRule="auto"/>
        <w:ind w:firstLine="420" w:firstLineChars="200"/>
        <w:rPr>
          <w:rFonts w:ascii="宋体" w:hAnsi="宋体" w:cs="宋体"/>
          <w:szCs w:val="21"/>
        </w:rPr>
      </w:pPr>
      <w:r>
        <w:rPr>
          <w:rFonts w:hint="eastAsia" w:ascii="宋体" w:hAnsi="宋体" w:cs="宋体"/>
          <w:szCs w:val="21"/>
        </w:rPr>
        <w:t>3.7.2乙方在本合同签订后</w:t>
      </w:r>
      <w:r>
        <w:rPr>
          <w:rFonts w:hint="eastAsia" w:ascii="宋体" w:hAnsi="宋体" w:cs="宋体"/>
          <w:szCs w:val="21"/>
          <w:u w:val="single"/>
        </w:rPr>
        <w:t xml:space="preserve">  7  </w:t>
      </w:r>
      <w:r>
        <w:rPr>
          <w:rFonts w:hint="eastAsia" w:ascii="宋体" w:hAnsi="宋体" w:cs="宋体"/>
          <w:szCs w:val="21"/>
        </w:rPr>
        <w:t>日内按合同约定的金额向甲方及时足额缴纳履约保证金。</w:t>
      </w:r>
    </w:p>
    <w:p>
      <w:pPr>
        <w:spacing w:line="360" w:lineRule="auto"/>
        <w:ind w:firstLine="420" w:firstLineChars="200"/>
        <w:rPr>
          <w:rFonts w:ascii="宋体" w:hAnsi="宋体" w:cs="宋体"/>
          <w:szCs w:val="21"/>
        </w:rPr>
      </w:pPr>
      <w:r>
        <w:rPr>
          <w:rFonts w:hint="eastAsia" w:ascii="宋体" w:hAnsi="宋体" w:cs="宋体"/>
          <w:szCs w:val="21"/>
        </w:rPr>
        <w:t>3.7.3合同履约保证金所含内容应包括本合同内所定的各项目标及投标文件内的承诺条件，尤其是工期、质量、安全、环境保护、文明施工、施工高峰期所到位人员数，农忙季节及节假日的人员数量，支付农民工资，遵纪守法、现场的综合协调承诺等。若达不到以上内容所规定的要求，甲方有权动用履约保证金；若发生严重违约或给甲方造成重大损失的，甲方有权没收全部保证金，并保留对乙方由此给甲方造成损失的追偿权。</w:t>
      </w:r>
    </w:p>
    <w:p>
      <w:pPr>
        <w:spacing w:line="360" w:lineRule="auto"/>
        <w:ind w:firstLine="420" w:firstLineChars="200"/>
        <w:rPr>
          <w:rFonts w:ascii="宋体" w:hAnsi="宋体" w:cs="宋体"/>
          <w:szCs w:val="21"/>
        </w:rPr>
      </w:pPr>
      <w:r>
        <w:rPr>
          <w:rFonts w:hint="eastAsia" w:ascii="宋体" w:hAnsi="宋体" w:cs="宋体"/>
          <w:szCs w:val="21"/>
        </w:rPr>
        <w:t>3.7.4若在保函的有效期内因乙方原因致使合同工期拖延，则乙方应对保函的有效期予以延长至合理时限内。如果乙方未按时提供履约保证的，甲方有权暂不支付任何款项。</w:t>
      </w:r>
    </w:p>
    <w:p>
      <w:pPr>
        <w:spacing w:line="360" w:lineRule="auto"/>
        <w:ind w:firstLine="420" w:firstLineChars="200"/>
        <w:rPr>
          <w:rFonts w:ascii="宋体" w:hAnsi="宋体" w:cs="宋体"/>
          <w:szCs w:val="21"/>
        </w:rPr>
      </w:pPr>
      <w:r>
        <w:rPr>
          <w:rFonts w:hint="eastAsia" w:ascii="宋体" w:hAnsi="宋体" w:cs="宋体"/>
          <w:szCs w:val="21"/>
        </w:rPr>
        <w:t>3.7.5乙方必须保证履约保函的真实性与效力，如采用虚假手段开具保函或因其他乙方原因导致保函无效或效力存在严重瑕疵的，乙方应按合同总价的10%向甲方承担违约责任，并按履约保函金额向甲方提交履约保证金。甲方有权解除本合同并追究乙方的相关责任。若乙方开具的履约保函在本合同有效期前失效且乙方未能及时续期的，甲方有权从应付乙方的当期工程款中扣除等额款项作为履约保证金.</w:t>
      </w:r>
    </w:p>
    <w:p>
      <w:pPr>
        <w:spacing w:line="360" w:lineRule="auto"/>
        <w:ind w:firstLine="420" w:firstLineChars="200"/>
        <w:jc w:val="left"/>
        <w:rPr>
          <w:rFonts w:ascii="宋体" w:hAnsi="宋体" w:cs="宋体"/>
          <w:szCs w:val="21"/>
        </w:rPr>
      </w:pPr>
      <w:r>
        <w:rPr>
          <w:rFonts w:hint="eastAsia" w:ascii="宋体" w:hAnsi="宋体" w:cs="宋体"/>
          <w:szCs w:val="21"/>
        </w:rPr>
        <w:t>3.7.6履约保证金的退还：钢结构单项验收合格且提供合格的竣工资料后十日内，无质量安全事故，甲方扣除应扣金额后，在30日内返还剩余履约保证金（不计利息）。</w:t>
      </w:r>
    </w:p>
    <w:p>
      <w:pPr>
        <w:spacing w:line="360" w:lineRule="auto"/>
        <w:jc w:val="left"/>
        <w:rPr>
          <w:rFonts w:ascii="宋体" w:hAnsi="宋体" w:cs="宋体"/>
          <w:b/>
          <w:szCs w:val="21"/>
        </w:rPr>
      </w:pPr>
      <w:bookmarkStart w:id="335" w:name="_Toc267251418"/>
      <w:bookmarkStart w:id="336" w:name="_Toc351203637"/>
      <w:r>
        <w:rPr>
          <w:rFonts w:hint="eastAsia" w:ascii="宋体" w:hAnsi="宋体" w:cs="宋体"/>
          <w:szCs w:val="21"/>
        </w:rPr>
        <w:t>5</w:t>
      </w:r>
      <w:bookmarkEnd w:id="335"/>
      <w:bookmarkStart w:id="337" w:name="_Toc297120463"/>
      <w:bookmarkStart w:id="338" w:name="_Toc296891203"/>
      <w:bookmarkStart w:id="339" w:name="_Toc292559872"/>
      <w:bookmarkStart w:id="340" w:name="_Toc296890991"/>
      <w:bookmarkStart w:id="341" w:name="_Toc296503163"/>
      <w:bookmarkStart w:id="342" w:name="_Toc296347162"/>
      <w:bookmarkStart w:id="343" w:name="_Toc292559367"/>
      <w:bookmarkStart w:id="344" w:name="_Toc296346664"/>
      <w:bookmarkStart w:id="345" w:name="_Toc296944502"/>
      <w:bookmarkStart w:id="346" w:name="_Toc297048349"/>
      <w:r>
        <w:rPr>
          <w:rFonts w:hint="eastAsia" w:ascii="宋体" w:hAnsi="宋体" w:cs="宋体"/>
          <w:szCs w:val="21"/>
        </w:rPr>
        <w:t>. 工程质量</w:t>
      </w:r>
      <w:bookmarkEnd w:id="336"/>
    </w:p>
    <w:p>
      <w:pPr>
        <w:spacing w:line="360" w:lineRule="auto"/>
        <w:jc w:val="left"/>
        <w:rPr>
          <w:rFonts w:ascii="宋体" w:hAnsi="宋体" w:cs="宋体"/>
          <w:szCs w:val="21"/>
        </w:rPr>
      </w:pPr>
      <w:r>
        <w:rPr>
          <w:rFonts w:hint="eastAsia" w:ascii="宋体" w:hAnsi="宋体" w:cs="宋体"/>
          <w:szCs w:val="21"/>
        </w:rPr>
        <w:t>5.1 质量要求</w:t>
      </w:r>
    </w:p>
    <w:p>
      <w:pPr>
        <w:spacing w:line="360" w:lineRule="auto"/>
        <w:jc w:val="left"/>
        <w:rPr>
          <w:rFonts w:ascii="宋体" w:hAnsi="宋体" w:cs="宋体"/>
          <w:szCs w:val="21"/>
        </w:rPr>
      </w:pPr>
      <w:r>
        <w:rPr>
          <w:rFonts w:hint="eastAsia" w:ascii="宋体" w:hAnsi="宋体" w:cs="宋体"/>
          <w:szCs w:val="21"/>
        </w:rPr>
        <w:t>5</w:t>
      </w:r>
      <w:bookmarkStart w:id="347" w:name="_Toc297216155"/>
      <w:bookmarkStart w:id="348" w:name="_Toc304295527"/>
      <w:bookmarkStart w:id="349" w:name="_Toc300934949"/>
      <w:bookmarkStart w:id="350" w:name="_Toc303539106"/>
      <w:bookmarkStart w:id="351" w:name="_Toc312677997"/>
      <w:bookmarkStart w:id="352" w:name="_Toc297123496"/>
      <w:bookmarkStart w:id="353" w:name="_Toc318581164"/>
      <w:r>
        <w:rPr>
          <w:rFonts w:hint="eastAsia" w:ascii="宋体" w:hAnsi="宋体" w:cs="宋体"/>
          <w:szCs w:val="21"/>
        </w:rPr>
        <w:t>.1.1 特殊质量标准和要求：</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关于工程奖项的约定：</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5.3 隐蔽工程检查</w:t>
      </w:r>
    </w:p>
    <w:p>
      <w:pPr>
        <w:spacing w:line="360" w:lineRule="auto"/>
        <w:jc w:val="left"/>
        <w:rPr>
          <w:rFonts w:ascii="宋体" w:hAnsi="宋体" w:cs="宋体"/>
          <w:szCs w:val="21"/>
        </w:rPr>
      </w:pPr>
      <w:r>
        <w:rPr>
          <w:rFonts w:hint="eastAsia" w:ascii="宋体" w:hAnsi="宋体" w:cs="宋体"/>
          <w:szCs w:val="21"/>
        </w:rPr>
        <w:t>5.3.2承包人提前通知监理人隐蔽工程检查的期限的约定：</w:t>
      </w:r>
      <w:r>
        <w:rPr>
          <w:rFonts w:hint="eastAsia" w:ascii="宋体" w:hAnsi="宋体" w:cs="宋体"/>
          <w:kern w:val="0"/>
          <w:szCs w:val="21"/>
          <w:u w:val="single"/>
        </w:rPr>
        <w:t>工程隐蔽部位经承包人自检确认具备覆盖条件的，承包人应在共同检查前48小时书面通知监理人及发包人检查，通知中应载明隐蔽检查的内容、时间和地点，并应附有自检记录和必要的检查资料</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监理人不能按时进行检查时，应提前</w:t>
      </w:r>
      <w:r>
        <w:rPr>
          <w:rFonts w:hint="eastAsia" w:ascii="宋体" w:hAnsi="宋体" w:cs="宋体"/>
          <w:szCs w:val="21"/>
          <w:u w:val="single"/>
        </w:rPr>
        <w:t xml:space="preserve"> 24 </w:t>
      </w:r>
      <w:r>
        <w:rPr>
          <w:rFonts w:hint="eastAsia" w:ascii="宋体" w:hAnsi="宋体" w:cs="宋体"/>
          <w:szCs w:val="21"/>
        </w:rPr>
        <w:t>小时提交书面延期要求。</w:t>
      </w:r>
    </w:p>
    <w:p>
      <w:pPr>
        <w:spacing w:line="360" w:lineRule="auto"/>
        <w:jc w:val="left"/>
        <w:rPr>
          <w:rFonts w:ascii="宋体" w:hAnsi="宋体" w:cs="宋体"/>
          <w:szCs w:val="21"/>
        </w:rPr>
      </w:pPr>
      <w:r>
        <w:rPr>
          <w:rFonts w:hint="eastAsia" w:ascii="宋体" w:hAnsi="宋体" w:cs="宋体"/>
          <w:szCs w:val="21"/>
        </w:rPr>
        <w:t>关于延期最长不得超过：</w:t>
      </w:r>
      <w:r>
        <w:rPr>
          <w:rFonts w:hint="eastAsia" w:ascii="宋体" w:hAnsi="宋体" w:cs="宋体"/>
          <w:szCs w:val="21"/>
          <w:u w:val="single"/>
        </w:rPr>
        <w:t xml:space="preserve">  72 </w:t>
      </w:r>
      <w:r>
        <w:rPr>
          <w:rFonts w:hint="eastAsia" w:ascii="宋体" w:hAnsi="宋体" w:cs="宋体"/>
          <w:szCs w:val="21"/>
        </w:rPr>
        <w:t>小时。</w:t>
      </w:r>
    </w:p>
    <w:p>
      <w:pPr>
        <w:spacing w:line="360" w:lineRule="auto"/>
        <w:jc w:val="left"/>
        <w:rPr>
          <w:rFonts w:ascii="宋体" w:hAnsi="宋体" w:cs="宋体"/>
          <w:b/>
          <w:szCs w:val="21"/>
        </w:rPr>
      </w:pPr>
      <w:bookmarkStart w:id="354" w:name="_Toc351203638"/>
      <w:r>
        <w:rPr>
          <w:rFonts w:hint="eastAsia" w:ascii="宋体" w:hAnsi="宋体" w:cs="宋体"/>
          <w:szCs w:val="21"/>
        </w:rPr>
        <w:t>6. 安全文明施工与环境保护</w:t>
      </w:r>
      <w:bookmarkEnd w:id="354"/>
    </w:p>
    <w:p>
      <w:pPr>
        <w:spacing w:line="360" w:lineRule="auto"/>
        <w:jc w:val="left"/>
        <w:rPr>
          <w:rFonts w:ascii="宋体" w:hAnsi="宋体" w:cs="宋体"/>
          <w:szCs w:val="21"/>
        </w:rPr>
      </w:pPr>
      <w:r>
        <w:rPr>
          <w:rFonts w:hint="eastAsia" w:ascii="宋体" w:hAnsi="宋体" w:cs="宋体"/>
          <w:szCs w:val="21"/>
        </w:rPr>
        <w:t>6.1安全文明施工</w:t>
      </w:r>
    </w:p>
    <w:p>
      <w:pPr>
        <w:spacing w:line="360" w:lineRule="auto"/>
        <w:jc w:val="left"/>
        <w:rPr>
          <w:rFonts w:ascii="宋体" w:hAnsi="宋体" w:cs="宋体"/>
          <w:szCs w:val="21"/>
        </w:rPr>
      </w:pPr>
      <w:r>
        <w:rPr>
          <w:rFonts w:hint="eastAsia" w:ascii="宋体" w:hAnsi="宋体" w:cs="宋体"/>
          <w:szCs w:val="21"/>
        </w:rPr>
        <w:t>6.1.1 项目安全生产的达标目标及相应事项的约定：</w:t>
      </w:r>
      <w:r>
        <w:rPr>
          <w:rFonts w:hint="eastAsia" w:ascii="宋体" w:hAnsi="宋体" w:cs="宋体"/>
          <w:szCs w:val="21"/>
          <w:u w:val="single"/>
        </w:rPr>
        <w:t xml:space="preserve">遵守国家和工程所在地有关安全生产的要求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6.1.4 关于治安保卫的特别约定：</w:t>
      </w:r>
      <w:r>
        <w:rPr>
          <w:rFonts w:hint="eastAsia" w:ascii="宋体" w:hAnsi="宋体" w:cs="宋体"/>
          <w:szCs w:val="21"/>
          <w:u w:val="single"/>
        </w:rPr>
        <w:t>由承包人负责与辖区派出所联系，负责治安保卫。</w:t>
      </w:r>
    </w:p>
    <w:p>
      <w:pPr>
        <w:spacing w:line="360" w:lineRule="auto"/>
        <w:jc w:val="left"/>
        <w:rPr>
          <w:rFonts w:ascii="宋体" w:hAnsi="宋体" w:cs="宋体"/>
          <w:szCs w:val="21"/>
        </w:rPr>
      </w:pPr>
      <w:r>
        <w:rPr>
          <w:rFonts w:hint="eastAsia" w:ascii="宋体" w:hAnsi="宋体" w:cs="宋体"/>
          <w:szCs w:val="21"/>
        </w:rPr>
        <w:t>关于编制施工场地治安管理计划的约定：</w:t>
      </w:r>
      <w:r>
        <w:rPr>
          <w:rFonts w:hint="eastAsia" w:ascii="宋体" w:hAnsi="宋体" w:cs="宋体"/>
          <w:szCs w:val="21"/>
          <w:u w:val="single"/>
        </w:rPr>
        <w:t xml:space="preserve">  承包人编制，发包人审核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6.1.5 文明施工</w:t>
      </w:r>
    </w:p>
    <w:p>
      <w:pPr>
        <w:spacing w:line="360" w:lineRule="auto"/>
        <w:jc w:val="left"/>
        <w:rPr>
          <w:rFonts w:ascii="宋体" w:hAnsi="宋体" w:cs="宋体"/>
          <w:kern w:val="0"/>
          <w:szCs w:val="21"/>
          <w:u w:val="single"/>
        </w:rPr>
      </w:pPr>
      <w:r>
        <w:rPr>
          <w:rFonts w:hint="eastAsia" w:ascii="宋体" w:hAnsi="宋体" w:cs="宋体"/>
          <w:szCs w:val="21"/>
        </w:rPr>
        <w:t>合同当事人对文明施工的要求：</w:t>
      </w:r>
      <w:r>
        <w:rPr>
          <w:rFonts w:hint="eastAsia" w:ascii="宋体" w:hAnsi="宋体" w:cs="宋体"/>
          <w:kern w:val="0"/>
          <w:szCs w:val="21"/>
          <w:u w:val="single"/>
        </w:rPr>
        <w:t>承包人在工程施工期间，应当采取措施保持施工现场平整，物料堆放整齐。工程所在地有关政府行政管理部门有特殊要求的，按照其要求执行。合同当事人对文明施工有其他要求的，可以在专用合同条款中明确。</w:t>
      </w:r>
    </w:p>
    <w:p>
      <w:pPr>
        <w:spacing w:line="360" w:lineRule="auto"/>
        <w:jc w:val="left"/>
        <w:rPr>
          <w:rFonts w:ascii="宋体" w:hAnsi="宋体" w:cs="宋体"/>
          <w:szCs w:val="21"/>
        </w:rPr>
      </w:pPr>
      <w:r>
        <w:rPr>
          <w:rFonts w:hint="eastAsia" w:ascii="宋体" w:hAnsi="宋体" w:cs="宋体"/>
          <w:kern w:val="0"/>
          <w:szCs w:val="21"/>
          <w:u w:val="single"/>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pPr>
        <w:spacing w:line="360" w:lineRule="auto"/>
        <w:jc w:val="left"/>
        <w:rPr>
          <w:rFonts w:ascii="宋体" w:hAnsi="宋体" w:cs="宋体"/>
          <w:szCs w:val="21"/>
        </w:rPr>
      </w:pPr>
      <w:r>
        <w:rPr>
          <w:rFonts w:hint="eastAsia" w:ascii="宋体" w:hAnsi="宋体" w:cs="宋体"/>
          <w:szCs w:val="21"/>
        </w:rPr>
        <w:t>6.1.6 关于安全文明施工费支付比例和支付期限的约定：</w:t>
      </w:r>
      <w:r>
        <w:rPr>
          <w:rFonts w:hint="eastAsia" w:ascii="宋体" w:hAnsi="宋体" w:cs="宋体"/>
          <w:b/>
          <w:u w:val="single"/>
        </w:rPr>
        <w:t>发包人在签订施工合同后15日内，向承包人支付50%的安全文明施工费，余下安全文明施工费按施工进度支付，专款专用。支付安全文明施工费时需提供明细，若不提供明细或未使用安全文明施工费，甲方有权拒绝支付安全文明施工费，并在结算中扣除。</w:t>
      </w:r>
    </w:p>
    <w:bookmarkEnd w:id="347"/>
    <w:bookmarkEnd w:id="348"/>
    <w:bookmarkEnd w:id="349"/>
    <w:bookmarkEnd w:id="350"/>
    <w:bookmarkEnd w:id="351"/>
    <w:bookmarkEnd w:id="352"/>
    <w:bookmarkEnd w:id="353"/>
    <w:p>
      <w:pPr>
        <w:spacing w:line="360" w:lineRule="auto"/>
        <w:jc w:val="left"/>
        <w:rPr>
          <w:rFonts w:ascii="宋体" w:hAnsi="宋体" w:cs="宋体"/>
          <w:b/>
          <w:szCs w:val="21"/>
        </w:rPr>
      </w:pPr>
      <w:bookmarkStart w:id="355" w:name="_Toc351203639"/>
      <w:r>
        <w:rPr>
          <w:rFonts w:hint="eastAsia" w:ascii="宋体" w:hAnsi="宋体" w:cs="宋体"/>
          <w:szCs w:val="21"/>
        </w:rPr>
        <w:t>7. 工期和进度</w:t>
      </w:r>
      <w:bookmarkEnd w:id="355"/>
    </w:p>
    <w:p>
      <w:pPr>
        <w:spacing w:line="360" w:lineRule="auto"/>
        <w:jc w:val="left"/>
        <w:rPr>
          <w:rFonts w:ascii="宋体" w:hAnsi="宋体" w:cs="宋体"/>
          <w:szCs w:val="21"/>
        </w:rPr>
      </w:pPr>
      <w:r>
        <w:rPr>
          <w:rFonts w:hint="eastAsia" w:ascii="宋体" w:hAnsi="宋体" w:cs="宋体"/>
          <w:szCs w:val="21"/>
        </w:rPr>
        <w:t>7.1 施工组织设计</w:t>
      </w:r>
    </w:p>
    <w:p>
      <w:pPr>
        <w:spacing w:line="360" w:lineRule="auto"/>
        <w:jc w:val="left"/>
        <w:rPr>
          <w:rFonts w:ascii="宋体" w:hAnsi="宋体" w:cs="宋体"/>
          <w:kern w:val="0"/>
          <w:szCs w:val="21"/>
        </w:rPr>
      </w:pPr>
      <w:r>
        <w:rPr>
          <w:rFonts w:hint="eastAsia" w:ascii="宋体" w:hAnsi="宋体" w:cs="宋体"/>
          <w:szCs w:val="21"/>
        </w:rPr>
        <w:t>7.1.1 合</w:t>
      </w:r>
      <w:r>
        <w:rPr>
          <w:rFonts w:hint="eastAsia" w:ascii="宋体" w:hAnsi="宋体" w:cs="宋体"/>
          <w:kern w:val="0"/>
          <w:szCs w:val="21"/>
        </w:rPr>
        <w:t>同当事人约定的施工组织设计应包括的其他内容：</w:t>
      </w:r>
      <w:r>
        <w:rPr>
          <w:rFonts w:hint="eastAsia" w:ascii="宋体" w:hAnsi="宋体" w:cs="宋体"/>
          <w:kern w:val="0"/>
          <w:szCs w:val="21"/>
          <w:u w:val="single"/>
        </w:rPr>
        <w:t>（1）施工方案； （2）施工现场平面布置图；（3）施工进度计划和保证措施； （4）劳动力及材料供应计划；（5）施工机械设备的选用；（6）质量保证体系及措施；（7）安全生产、文明施工措施；（8）环境保护、成本控制措施；（9）合同当事人约定的其他内容。</w:t>
      </w:r>
    </w:p>
    <w:p>
      <w:pPr>
        <w:spacing w:line="360" w:lineRule="auto"/>
        <w:jc w:val="left"/>
        <w:rPr>
          <w:rFonts w:ascii="宋体" w:hAnsi="宋体" w:cs="宋体"/>
          <w:kern w:val="0"/>
          <w:szCs w:val="21"/>
        </w:rPr>
      </w:pPr>
      <w:r>
        <w:rPr>
          <w:rFonts w:hint="eastAsia" w:ascii="宋体" w:hAnsi="宋体" w:cs="宋体"/>
          <w:szCs w:val="21"/>
        </w:rPr>
        <w:t xml:space="preserve">7.1.2 </w:t>
      </w:r>
      <w:r>
        <w:rPr>
          <w:rFonts w:hint="eastAsia" w:ascii="宋体" w:hAnsi="宋体" w:cs="宋体"/>
          <w:kern w:val="0"/>
          <w:szCs w:val="21"/>
        </w:rPr>
        <w:t>施工组织设计的提交和修改</w:t>
      </w:r>
    </w:p>
    <w:p>
      <w:pPr>
        <w:spacing w:line="360" w:lineRule="auto"/>
        <w:jc w:val="left"/>
        <w:rPr>
          <w:rFonts w:ascii="宋体" w:hAnsi="宋体" w:cs="宋体"/>
          <w:szCs w:val="21"/>
        </w:rPr>
      </w:pPr>
      <w:r>
        <w:rPr>
          <w:rFonts w:hint="eastAsia" w:ascii="宋体" w:hAnsi="宋体" w:cs="宋体"/>
          <w:kern w:val="0"/>
          <w:szCs w:val="21"/>
        </w:rPr>
        <w:t>承包人提交详细施工组织设计的期限的约定：</w:t>
      </w:r>
      <w:r>
        <w:rPr>
          <w:rFonts w:hint="eastAsia" w:ascii="宋体" w:hAnsi="宋体" w:cs="宋体"/>
          <w:szCs w:val="21"/>
          <w:u w:val="single"/>
        </w:rPr>
        <w:t xml:space="preserve">  技术交底后7天内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发包人和监理人在收到详细的施工组织设计后确认或提出修改意见的期限：</w:t>
      </w:r>
      <w:r>
        <w:rPr>
          <w:rFonts w:hint="eastAsia" w:ascii="宋体" w:hAnsi="宋体" w:cs="宋体"/>
          <w:szCs w:val="21"/>
          <w:u w:val="single"/>
        </w:rPr>
        <w:t xml:space="preserve">   收到后7天内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7</w:t>
      </w:r>
      <w:bookmarkStart w:id="356" w:name="_Toc297216173"/>
      <w:bookmarkStart w:id="357" w:name="_Toc312677479"/>
      <w:bookmarkStart w:id="358" w:name="_Toc304295541"/>
      <w:bookmarkStart w:id="359" w:name="_Toc303539123"/>
      <w:bookmarkStart w:id="360" w:name="_Toc297123514"/>
      <w:bookmarkStart w:id="361" w:name="_Toc300934966"/>
      <w:bookmarkStart w:id="362" w:name="_Toc312678005"/>
      <w:r>
        <w:rPr>
          <w:rFonts w:hint="eastAsia" w:ascii="宋体" w:hAnsi="宋体" w:cs="宋体"/>
          <w:szCs w:val="21"/>
        </w:rPr>
        <w:t>.2 施工进度计划</w:t>
      </w:r>
    </w:p>
    <w:p>
      <w:pPr>
        <w:spacing w:line="360" w:lineRule="auto"/>
        <w:jc w:val="left"/>
        <w:rPr>
          <w:rFonts w:ascii="宋体" w:hAnsi="宋体" w:cs="宋体"/>
          <w:szCs w:val="21"/>
        </w:rPr>
      </w:pPr>
      <w:r>
        <w:rPr>
          <w:rFonts w:hint="eastAsia" w:ascii="宋体" w:hAnsi="宋体" w:cs="宋体"/>
          <w:szCs w:val="21"/>
        </w:rPr>
        <w:t>7.2.2 施工进度计划的修订</w:t>
      </w:r>
    </w:p>
    <w:p>
      <w:pPr>
        <w:spacing w:line="360" w:lineRule="auto"/>
        <w:jc w:val="left"/>
        <w:rPr>
          <w:rFonts w:ascii="宋体" w:hAnsi="宋体" w:cs="宋体"/>
          <w:szCs w:val="21"/>
        </w:rPr>
      </w:pPr>
      <w:r>
        <w:rPr>
          <w:rFonts w:hint="eastAsia" w:ascii="宋体" w:hAnsi="宋体" w:cs="宋体"/>
          <w:szCs w:val="21"/>
        </w:rPr>
        <w:t>发包人和监理人在收到修订的施工进度计划后确认或提出修改意见的期限：</w:t>
      </w:r>
      <w:r>
        <w:rPr>
          <w:rFonts w:hint="eastAsia" w:ascii="宋体" w:hAnsi="宋体" w:cs="宋体"/>
          <w:szCs w:val="21"/>
          <w:u w:val="single"/>
        </w:rPr>
        <w:t>收到后7天内</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7.3 开工</w:t>
      </w:r>
    </w:p>
    <w:p>
      <w:pPr>
        <w:spacing w:line="360" w:lineRule="auto"/>
        <w:jc w:val="left"/>
        <w:rPr>
          <w:rFonts w:ascii="宋体" w:hAnsi="宋体" w:cs="宋体"/>
          <w:szCs w:val="21"/>
        </w:rPr>
      </w:pPr>
      <w:r>
        <w:rPr>
          <w:rFonts w:hint="eastAsia" w:ascii="宋体" w:hAnsi="宋体" w:cs="宋体"/>
          <w:szCs w:val="21"/>
        </w:rPr>
        <w:t>7.3.1 开工准备</w:t>
      </w:r>
    </w:p>
    <w:p>
      <w:pPr>
        <w:spacing w:line="360" w:lineRule="auto"/>
        <w:jc w:val="left"/>
        <w:rPr>
          <w:rFonts w:ascii="宋体" w:hAnsi="宋体" w:cs="宋体"/>
          <w:szCs w:val="21"/>
          <w:u w:val="single"/>
        </w:rPr>
      </w:pPr>
      <w:r>
        <w:rPr>
          <w:rFonts w:hint="eastAsia" w:ascii="宋体" w:hAnsi="宋体" w:cs="宋体"/>
          <w:szCs w:val="21"/>
        </w:rPr>
        <w:t>关于承包人提交</w:t>
      </w:r>
      <w:r>
        <w:rPr>
          <w:rFonts w:hint="eastAsia" w:ascii="宋体" w:hAnsi="宋体" w:cs="宋体"/>
          <w:kern w:val="0"/>
          <w:szCs w:val="21"/>
        </w:rPr>
        <w:t>工程开工报审表的期限：</w:t>
      </w:r>
      <w:r>
        <w:rPr>
          <w:rFonts w:hint="eastAsia" w:ascii="宋体" w:hAnsi="宋体" w:cs="宋体"/>
          <w:szCs w:val="21"/>
          <w:u w:val="single"/>
        </w:rPr>
        <w:t>承包人应按照施工组织设计约定的期限。</w:t>
      </w:r>
    </w:p>
    <w:p>
      <w:pPr>
        <w:spacing w:line="360" w:lineRule="auto"/>
        <w:jc w:val="left"/>
        <w:rPr>
          <w:rFonts w:ascii="宋体" w:hAnsi="宋体" w:cs="宋体"/>
          <w:szCs w:val="21"/>
        </w:rPr>
      </w:pPr>
      <w:r>
        <w:rPr>
          <w:rFonts w:hint="eastAsia" w:ascii="宋体" w:hAnsi="宋体" w:cs="宋体"/>
          <w:szCs w:val="21"/>
        </w:rPr>
        <w:t>关于发包人应完成的其他开工准备工作及期限：</w:t>
      </w:r>
      <w:r>
        <w:rPr>
          <w:rFonts w:hint="eastAsia" w:ascii="宋体" w:hAnsi="宋体" w:cs="宋体"/>
          <w:szCs w:val="21"/>
          <w:u w:val="single"/>
        </w:rPr>
        <w:t xml:space="preserve">  应提供满足施工条件的道路场地 </w:t>
      </w:r>
      <w:r>
        <w:rPr>
          <w:rFonts w:hint="eastAsia" w:ascii="宋体" w:hAnsi="宋体" w:cs="宋体"/>
          <w:szCs w:val="21"/>
        </w:rPr>
        <w:t xml:space="preserve"> 。</w:t>
      </w:r>
    </w:p>
    <w:p>
      <w:pPr>
        <w:spacing w:line="360" w:lineRule="auto"/>
        <w:jc w:val="left"/>
        <w:rPr>
          <w:rFonts w:ascii="宋体" w:hAnsi="宋体" w:cs="宋体"/>
          <w:szCs w:val="21"/>
        </w:rPr>
      </w:pPr>
      <w:r>
        <w:rPr>
          <w:rFonts w:hint="eastAsia" w:ascii="宋体" w:hAnsi="宋体" w:cs="宋体"/>
          <w:szCs w:val="21"/>
        </w:rPr>
        <w:t>关于承包人应完成的其他开工准备工作及期限：</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7.3.2开工通知</w:t>
      </w:r>
    </w:p>
    <w:p>
      <w:pPr>
        <w:spacing w:line="360" w:lineRule="auto"/>
        <w:jc w:val="left"/>
        <w:rPr>
          <w:rFonts w:ascii="宋体" w:hAnsi="宋体" w:cs="宋体"/>
          <w:szCs w:val="21"/>
        </w:rPr>
      </w:pPr>
      <w:r>
        <w:rPr>
          <w:rFonts w:hint="eastAsia" w:ascii="宋体" w:hAnsi="宋体" w:cs="宋体"/>
          <w:szCs w:val="21"/>
        </w:rPr>
        <w:t>因发包人原因造成监理人未能在计划开工日期之日起</w:t>
      </w:r>
      <w:r>
        <w:rPr>
          <w:rFonts w:hint="eastAsia" w:ascii="宋体" w:hAnsi="宋体" w:cs="宋体"/>
          <w:szCs w:val="21"/>
          <w:u w:val="single"/>
        </w:rPr>
        <w:t>30</w:t>
      </w:r>
      <w:r>
        <w:rPr>
          <w:rFonts w:hint="eastAsia" w:ascii="宋体" w:hAnsi="宋体" w:cs="宋体"/>
          <w:szCs w:val="21"/>
        </w:rPr>
        <w:t>天内发出开工通知的，承包人有权提出价格调整要求，或者解除合同。</w:t>
      </w:r>
    </w:p>
    <w:bookmarkEnd w:id="356"/>
    <w:bookmarkEnd w:id="357"/>
    <w:bookmarkEnd w:id="358"/>
    <w:bookmarkEnd w:id="359"/>
    <w:bookmarkEnd w:id="360"/>
    <w:bookmarkEnd w:id="361"/>
    <w:bookmarkEnd w:id="362"/>
    <w:p>
      <w:pPr>
        <w:spacing w:line="360" w:lineRule="auto"/>
        <w:jc w:val="left"/>
        <w:rPr>
          <w:rFonts w:ascii="宋体" w:hAnsi="宋体" w:cs="宋体"/>
          <w:szCs w:val="21"/>
        </w:rPr>
      </w:pPr>
      <w:r>
        <w:rPr>
          <w:rFonts w:hint="eastAsia" w:ascii="宋体" w:hAnsi="宋体" w:cs="宋体"/>
          <w:szCs w:val="21"/>
        </w:rPr>
        <w:t>7.4 测量放线</w:t>
      </w:r>
    </w:p>
    <w:p>
      <w:pPr>
        <w:spacing w:line="360" w:lineRule="auto"/>
        <w:jc w:val="left"/>
        <w:rPr>
          <w:rFonts w:ascii="宋体" w:hAnsi="宋体" w:cs="宋体"/>
          <w:szCs w:val="21"/>
          <w:u w:val="single"/>
        </w:rPr>
      </w:pPr>
      <w:r>
        <w:rPr>
          <w:rFonts w:hint="eastAsia" w:ascii="宋体" w:hAnsi="宋体" w:cs="宋体"/>
          <w:szCs w:val="21"/>
        </w:rPr>
        <w:t>7.4.1发包人通过监理人向承包人提供测量基准点、基准线和水准点及其书面资料的期限：</w:t>
      </w:r>
      <w:r>
        <w:rPr>
          <w:rFonts w:hint="eastAsia" w:ascii="宋体" w:hAnsi="宋体" w:cs="宋体"/>
          <w:szCs w:val="21"/>
          <w:u w:val="single"/>
        </w:rPr>
        <w:t xml:space="preserve"> 开工日期前7天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7</w:t>
      </w:r>
      <w:bookmarkStart w:id="363" w:name="_Toc300934968"/>
      <w:bookmarkStart w:id="364" w:name="_Toc304295546"/>
      <w:bookmarkStart w:id="365" w:name="_Toc297123516"/>
      <w:bookmarkStart w:id="366" w:name="_Toc312678010"/>
      <w:bookmarkStart w:id="367" w:name="_Toc303539125"/>
      <w:bookmarkStart w:id="368" w:name="_Toc297216175"/>
      <w:bookmarkStart w:id="369" w:name="_Toc312677484"/>
      <w:r>
        <w:rPr>
          <w:rFonts w:hint="eastAsia" w:ascii="宋体" w:hAnsi="宋体" w:cs="宋体"/>
          <w:szCs w:val="21"/>
        </w:rPr>
        <w:t>.5 工期延误</w:t>
      </w:r>
    </w:p>
    <w:bookmarkEnd w:id="363"/>
    <w:bookmarkEnd w:id="364"/>
    <w:bookmarkEnd w:id="365"/>
    <w:bookmarkEnd w:id="366"/>
    <w:bookmarkEnd w:id="367"/>
    <w:bookmarkEnd w:id="368"/>
    <w:bookmarkEnd w:id="369"/>
    <w:p>
      <w:pPr>
        <w:spacing w:line="360" w:lineRule="auto"/>
        <w:jc w:val="left"/>
        <w:rPr>
          <w:rFonts w:ascii="宋体" w:hAnsi="宋体" w:cs="宋体"/>
          <w:szCs w:val="21"/>
        </w:rPr>
      </w:pPr>
      <w:r>
        <w:rPr>
          <w:rFonts w:hint="eastAsia" w:ascii="宋体" w:hAnsi="宋体" w:cs="宋体"/>
          <w:szCs w:val="21"/>
        </w:rPr>
        <w:t>7.5.1 因发包人原因导致工期延误</w:t>
      </w:r>
    </w:p>
    <w:p>
      <w:pPr>
        <w:spacing w:line="360" w:lineRule="auto"/>
        <w:jc w:val="left"/>
        <w:rPr>
          <w:rFonts w:ascii="宋体" w:hAnsi="宋体" w:cs="宋体"/>
          <w:szCs w:val="21"/>
        </w:rPr>
      </w:pPr>
      <w:r>
        <w:rPr>
          <w:rFonts w:hint="eastAsia" w:ascii="宋体" w:hAnsi="宋体" w:cs="宋体"/>
          <w:szCs w:val="21"/>
        </w:rPr>
        <w:t>（7）因发包人原因导致工期延误的其他情形：</w:t>
      </w:r>
      <w:r>
        <w:rPr>
          <w:rFonts w:hint="eastAsia" w:ascii="宋体" w:hAnsi="宋体" w:cs="宋体"/>
          <w:szCs w:val="21"/>
          <w:u w:val="single"/>
        </w:rPr>
        <w:t>不采用</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7</w:t>
      </w:r>
      <w:bookmarkStart w:id="370" w:name="_Toc318581169"/>
      <w:bookmarkStart w:id="371" w:name="_Toc312677486"/>
      <w:bookmarkStart w:id="372" w:name="_Toc312678012"/>
      <w:bookmarkStart w:id="373" w:name="_Toc303539127"/>
      <w:bookmarkStart w:id="374" w:name="_Toc304295548"/>
      <w:bookmarkStart w:id="375" w:name="_Toc297123518"/>
      <w:bookmarkStart w:id="376" w:name="_Toc300934970"/>
      <w:bookmarkStart w:id="377" w:name="_Toc297216177"/>
      <w:r>
        <w:rPr>
          <w:rFonts w:hint="eastAsia" w:ascii="宋体" w:hAnsi="宋体" w:cs="宋体"/>
          <w:szCs w:val="21"/>
        </w:rPr>
        <w:t>.5.2 因承包人原因导致工期延误</w:t>
      </w:r>
    </w:p>
    <w:bookmarkEnd w:id="370"/>
    <w:bookmarkEnd w:id="371"/>
    <w:bookmarkEnd w:id="372"/>
    <w:p>
      <w:pPr>
        <w:spacing w:line="360" w:lineRule="auto"/>
        <w:jc w:val="left"/>
        <w:rPr>
          <w:rFonts w:ascii="宋体" w:hAnsi="宋体" w:cs="宋体"/>
          <w:szCs w:val="21"/>
        </w:rPr>
      </w:pPr>
      <w:r>
        <w:rPr>
          <w:rFonts w:hint="eastAsia" w:ascii="宋体" w:hAnsi="宋体" w:cs="宋体"/>
          <w:szCs w:val="21"/>
        </w:rPr>
        <w:t>因</w:t>
      </w:r>
      <w:bookmarkStart w:id="378" w:name="_Toc312678013"/>
      <w:bookmarkStart w:id="379" w:name="_Toc318581170"/>
      <w:bookmarkStart w:id="380" w:name="_Toc312677487"/>
      <w:r>
        <w:rPr>
          <w:rFonts w:hint="eastAsia" w:ascii="宋体" w:hAnsi="宋体" w:cs="宋体"/>
          <w:szCs w:val="21"/>
        </w:rPr>
        <w:t>承包人原因造成工期延误，逾期竣工违约金的计算方法为：</w:t>
      </w:r>
    </w:p>
    <w:p>
      <w:pPr>
        <w:spacing w:line="360" w:lineRule="auto"/>
        <w:jc w:val="left"/>
        <w:rPr>
          <w:rFonts w:ascii="宋体" w:hAnsi="宋体" w:cs="宋体"/>
          <w:szCs w:val="21"/>
          <w:u w:val="single"/>
        </w:rPr>
      </w:pPr>
      <w:r>
        <w:rPr>
          <w:rFonts w:hint="eastAsia" w:ascii="宋体" w:hAnsi="宋体" w:cs="宋体"/>
          <w:szCs w:val="21"/>
          <w:u w:val="single"/>
        </w:rPr>
        <w:t>工期延误按该项目工期目标分段考核。工期未按合同期完成，延误在5天以内的，每延迟一天发包人按1万元/天处以承包人违约处罚金，处罚金按工期延误天数累计计算；当累计延误天数超过5天时，每延误一天发包人按2万元/天处以承包人违约处罚金；如总工期未延误，可退还该分段工期内延误的违约处罚金的80%。</w:t>
      </w:r>
    </w:p>
    <w:bookmarkEnd w:id="373"/>
    <w:bookmarkEnd w:id="374"/>
    <w:bookmarkEnd w:id="375"/>
    <w:bookmarkEnd w:id="376"/>
    <w:bookmarkEnd w:id="377"/>
    <w:bookmarkEnd w:id="378"/>
    <w:bookmarkEnd w:id="379"/>
    <w:bookmarkEnd w:id="380"/>
    <w:p>
      <w:pPr>
        <w:spacing w:line="360" w:lineRule="auto"/>
        <w:jc w:val="left"/>
        <w:rPr>
          <w:rFonts w:ascii="宋体" w:hAnsi="宋体" w:cs="宋体"/>
          <w:szCs w:val="21"/>
        </w:rPr>
      </w:pPr>
      <w:r>
        <w:rPr>
          <w:rFonts w:hint="eastAsia" w:ascii="宋体" w:hAnsi="宋体" w:cs="宋体"/>
          <w:szCs w:val="21"/>
        </w:rPr>
        <w:t>因承包人原因造成工期延误，逾</w:t>
      </w:r>
      <w:bookmarkStart w:id="381" w:name="_Toc318581171"/>
      <w:bookmarkStart w:id="382" w:name="_Toc312678014"/>
      <w:r>
        <w:rPr>
          <w:rFonts w:hint="eastAsia" w:ascii="宋体" w:hAnsi="宋体" w:cs="宋体"/>
          <w:szCs w:val="21"/>
        </w:rPr>
        <w:t>期竣工违约金的上限：</w:t>
      </w:r>
      <w:r>
        <w:rPr>
          <w:rFonts w:hint="eastAsia" w:ascii="宋体" w:hAnsi="宋体" w:cs="宋体"/>
          <w:szCs w:val="21"/>
          <w:u w:val="single"/>
        </w:rPr>
        <w:t xml:space="preserve">合同总价的10% </w:t>
      </w:r>
      <w:r>
        <w:rPr>
          <w:rFonts w:hint="eastAsia" w:ascii="宋体" w:hAnsi="宋体" w:cs="宋体"/>
          <w:szCs w:val="21"/>
        </w:rPr>
        <w:t>。</w:t>
      </w:r>
    </w:p>
    <w:bookmarkEnd w:id="381"/>
    <w:bookmarkEnd w:id="382"/>
    <w:p>
      <w:pPr>
        <w:spacing w:line="360" w:lineRule="auto"/>
        <w:jc w:val="left"/>
        <w:rPr>
          <w:rFonts w:ascii="宋体" w:hAnsi="宋体" w:cs="宋体"/>
          <w:szCs w:val="21"/>
        </w:rPr>
      </w:pPr>
      <w:r>
        <w:rPr>
          <w:rFonts w:hint="eastAsia" w:ascii="宋体" w:hAnsi="宋体" w:cs="宋体"/>
          <w:szCs w:val="21"/>
        </w:rPr>
        <w:t>7</w:t>
      </w:r>
      <w:bookmarkStart w:id="383" w:name="_Toc297123519"/>
      <w:bookmarkStart w:id="384" w:name="_Toc304295549"/>
      <w:bookmarkStart w:id="385" w:name="_Toc300934971"/>
      <w:bookmarkStart w:id="386" w:name="_Toc297216178"/>
      <w:bookmarkStart w:id="387" w:name="_Toc303539128"/>
      <w:bookmarkStart w:id="388" w:name="_Toc312678015"/>
      <w:r>
        <w:rPr>
          <w:rFonts w:hint="eastAsia" w:ascii="宋体" w:hAnsi="宋体" w:cs="宋体"/>
          <w:szCs w:val="21"/>
        </w:rPr>
        <w:t>.6 不</w:t>
      </w:r>
      <w:bookmarkEnd w:id="383"/>
      <w:bookmarkEnd w:id="384"/>
      <w:bookmarkEnd w:id="385"/>
      <w:bookmarkEnd w:id="386"/>
      <w:bookmarkEnd w:id="387"/>
      <w:bookmarkEnd w:id="388"/>
      <w:r>
        <w:rPr>
          <w:rFonts w:hint="eastAsia" w:ascii="宋体" w:hAnsi="宋体" w:cs="宋体"/>
          <w:szCs w:val="21"/>
        </w:rPr>
        <w:t>利物质条件</w:t>
      </w:r>
    </w:p>
    <w:p>
      <w:pPr>
        <w:spacing w:line="360" w:lineRule="auto"/>
        <w:jc w:val="left"/>
        <w:rPr>
          <w:rFonts w:ascii="宋体" w:hAnsi="宋体" w:cs="宋体"/>
          <w:szCs w:val="21"/>
        </w:rPr>
      </w:pPr>
      <w:bookmarkStart w:id="389" w:name="_Toc318581172"/>
      <w:bookmarkStart w:id="390" w:name="_Toc312678016"/>
      <w:bookmarkStart w:id="391" w:name="_Toc303539129"/>
      <w:bookmarkStart w:id="392" w:name="_Toc304295550"/>
      <w:bookmarkStart w:id="393" w:name="_Toc297123520"/>
      <w:bookmarkStart w:id="394" w:name="_Toc300934972"/>
      <w:bookmarkStart w:id="395" w:name="_Toc297216179"/>
      <w:r>
        <w:rPr>
          <w:rFonts w:hint="eastAsia" w:ascii="宋体" w:hAnsi="宋体" w:cs="宋体"/>
          <w:szCs w:val="21"/>
        </w:rPr>
        <w:t>不利物质条件的其他情形和有关约定：</w:t>
      </w:r>
      <w:r>
        <w:rPr>
          <w:rFonts w:hint="eastAsia" w:ascii="宋体" w:hAnsi="宋体" w:cs="宋体"/>
          <w:szCs w:val="21"/>
          <w:u w:val="single"/>
        </w:rPr>
        <w:t>指有经验的承包人在施工现场遇到的不可预见的自然物质条件、非自然的物质障碍和污染物，包括地表以下物质条件和水文条件，但不包括气候条件。</w:t>
      </w:r>
    </w:p>
    <w:bookmarkEnd w:id="389"/>
    <w:bookmarkEnd w:id="390"/>
    <w:bookmarkEnd w:id="391"/>
    <w:bookmarkEnd w:id="392"/>
    <w:bookmarkEnd w:id="393"/>
    <w:bookmarkEnd w:id="394"/>
    <w:bookmarkEnd w:id="395"/>
    <w:p>
      <w:pPr>
        <w:spacing w:line="360" w:lineRule="auto"/>
        <w:jc w:val="left"/>
        <w:rPr>
          <w:rFonts w:ascii="宋体" w:hAnsi="宋体" w:cs="宋体"/>
          <w:szCs w:val="21"/>
        </w:rPr>
      </w:pPr>
      <w:r>
        <w:rPr>
          <w:rFonts w:hint="eastAsia" w:ascii="宋体" w:hAnsi="宋体" w:cs="宋体"/>
          <w:szCs w:val="21"/>
        </w:rPr>
        <w:t>7</w:t>
      </w:r>
      <w:bookmarkStart w:id="396" w:name="_Toc297216180"/>
      <w:bookmarkStart w:id="397" w:name="_Toc297123521"/>
      <w:bookmarkStart w:id="398" w:name="_Toc312678017"/>
      <w:bookmarkStart w:id="399" w:name="_Toc304295551"/>
      <w:bookmarkStart w:id="400" w:name="_Toc303539130"/>
      <w:bookmarkStart w:id="401" w:name="_Toc300934973"/>
      <w:r>
        <w:rPr>
          <w:rFonts w:hint="eastAsia" w:ascii="宋体" w:hAnsi="宋体" w:cs="宋体"/>
          <w:szCs w:val="21"/>
        </w:rPr>
        <w:t>.7异常恶劣的气候条件</w:t>
      </w:r>
    </w:p>
    <w:bookmarkEnd w:id="396"/>
    <w:bookmarkEnd w:id="397"/>
    <w:bookmarkEnd w:id="398"/>
    <w:bookmarkEnd w:id="399"/>
    <w:bookmarkEnd w:id="400"/>
    <w:bookmarkEnd w:id="401"/>
    <w:p>
      <w:pPr>
        <w:spacing w:line="360" w:lineRule="auto"/>
        <w:jc w:val="left"/>
        <w:rPr>
          <w:rFonts w:ascii="宋体" w:hAnsi="宋体" w:cs="宋体"/>
          <w:szCs w:val="21"/>
        </w:rPr>
      </w:pPr>
      <w:r>
        <w:rPr>
          <w:rFonts w:hint="eastAsia" w:ascii="宋体" w:hAnsi="宋体" w:cs="宋体"/>
          <w:szCs w:val="21"/>
        </w:rPr>
        <w:t>发包人和承包人同意以下情形视为异常恶劣的气候条件：</w:t>
      </w:r>
    </w:p>
    <w:p>
      <w:pPr>
        <w:spacing w:line="360" w:lineRule="auto"/>
        <w:jc w:val="left"/>
        <w:rPr>
          <w:rFonts w:ascii="宋体" w:hAnsi="宋体" w:cs="宋体"/>
          <w:szCs w:val="21"/>
          <w:u w:val="single"/>
        </w:rPr>
      </w:pPr>
      <w:r>
        <w:rPr>
          <w:rFonts w:hint="eastAsia" w:ascii="宋体" w:hAnsi="宋体" w:cs="宋体"/>
          <w:szCs w:val="21"/>
        </w:rPr>
        <w:t>（1）</w:t>
      </w:r>
      <w:r>
        <w:rPr>
          <w:rFonts w:hint="eastAsia" w:ascii="宋体" w:hAnsi="宋体" w:cs="宋体"/>
          <w:szCs w:val="21"/>
          <w:u w:val="single"/>
        </w:rPr>
        <w:t xml:space="preserve">  50年一遇的自然灾害（如台风、雪灾、洪水、高温）。</w:t>
      </w:r>
    </w:p>
    <w:p>
      <w:pPr>
        <w:spacing w:line="360" w:lineRule="auto"/>
        <w:jc w:val="left"/>
        <w:rPr>
          <w:rFonts w:ascii="宋体" w:hAnsi="宋体" w:cs="宋体"/>
          <w:szCs w:val="21"/>
        </w:rPr>
      </w:pPr>
      <w:r>
        <w:rPr>
          <w:rFonts w:hint="eastAsia" w:ascii="宋体" w:hAnsi="宋体" w:cs="宋体"/>
          <w:szCs w:val="21"/>
        </w:rPr>
        <w:t>7.9 提前竣工的奖励</w:t>
      </w:r>
    </w:p>
    <w:p>
      <w:pPr>
        <w:spacing w:line="360" w:lineRule="auto"/>
        <w:jc w:val="left"/>
        <w:rPr>
          <w:rFonts w:ascii="宋体" w:hAnsi="宋体" w:cs="宋体"/>
          <w:szCs w:val="21"/>
        </w:rPr>
      </w:pPr>
      <w:r>
        <w:rPr>
          <w:rFonts w:hint="eastAsia" w:ascii="宋体" w:hAnsi="宋体" w:cs="宋体"/>
          <w:szCs w:val="21"/>
        </w:rPr>
        <w:t>7.9.2提前竣工的奖励：</w:t>
      </w:r>
      <w:r>
        <w:rPr>
          <w:rFonts w:hint="eastAsia" w:ascii="宋体" w:hAnsi="宋体" w:cs="宋体"/>
          <w:szCs w:val="21"/>
          <w:u w:val="single"/>
        </w:rPr>
        <w:t xml:space="preserve">    无   </w:t>
      </w:r>
      <w:r>
        <w:rPr>
          <w:rFonts w:hint="eastAsia" w:ascii="宋体" w:hAnsi="宋体" w:cs="宋体"/>
          <w:szCs w:val="21"/>
        </w:rPr>
        <w:t>。</w:t>
      </w:r>
    </w:p>
    <w:p>
      <w:pPr>
        <w:spacing w:line="360" w:lineRule="auto"/>
        <w:jc w:val="left"/>
        <w:rPr>
          <w:rFonts w:ascii="宋体" w:hAnsi="宋体" w:cs="宋体"/>
          <w:b/>
          <w:szCs w:val="21"/>
        </w:rPr>
      </w:pPr>
      <w:bookmarkStart w:id="402" w:name="_Toc351203640"/>
      <w:r>
        <w:rPr>
          <w:rFonts w:hint="eastAsia" w:ascii="宋体" w:hAnsi="宋体" w:cs="宋体"/>
          <w:szCs w:val="21"/>
        </w:rPr>
        <w:t>8. 材料与设备</w:t>
      </w:r>
      <w:bookmarkEnd w:id="402"/>
    </w:p>
    <w:bookmarkEnd w:id="337"/>
    <w:bookmarkEnd w:id="338"/>
    <w:bookmarkEnd w:id="339"/>
    <w:bookmarkEnd w:id="340"/>
    <w:bookmarkEnd w:id="341"/>
    <w:bookmarkEnd w:id="342"/>
    <w:bookmarkEnd w:id="343"/>
    <w:bookmarkEnd w:id="344"/>
    <w:bookmarkEnd w:id="345"/>
    <w:bookmarkEnd w:id="346"/>
    <w:p>
      <w:pPr>
        <w:spacing w:line="360" w:lineRule="auto"/>
        <w:jc w:val="left"/>
        <w:rPr>
          <w:rFonts w:ascii="宋体" w:hAnsi="宋体" w:cs="宋体"/>
          <w:szCs w:val="21"/>
        </w:rPr>
      </w:pPr>
      <w:r>
        <w:rPr>
          <w:rFonts w:hint="eastAsia" w:ascii="宋体" w:hAnsi="宋体" w:cs="宋体"/>
          <w:szCs w:val="21"/>
        </w:rPr>
        <w:t>8</w:t>
      </w:r>
      <w:bookmarkStart w:id="403" w:name="_Toc296890995"/>
      <w:bookmarkStart w:id="404" w:name="_Toc297123527"/>
      <w:bookmarkStart w:id="405" w:name="_Toc296346668"/>
      <w:bookmarkStart w:id="406" w:name="_Toc292559372"/>
      <w:bookmarkStart w:id="407" w:name="_Toc296891207"/>
      <w:bookmarkStart w:id="408" w:name="_Toc300934979"/>
      <w:bookmarkStart w:id="409" w:name="_Toc312677493"/>
      <w:bookmarkStart w:id="410" w:name="_Toc304295556"/>
      <w:bookmarkStart w:id="411" w:name="_Toc297216186"/>
      <w:bookmarkStart w:id="412" w:name="_Toc280868654"/>
      <w:bookmarkStart w:id="413" w:name="_Toc296944506"/>
      <w:bookmarkStart w:id="414" w:name="_Toc297048353"/>
      <w:bookmarkStart w:id="415" w:name="_Toc297120467"/>
      <w:bookmarkStart w:id="416" w:name="_Toc292559877"/>
      <w:bookmarkStart w:id="417" w:name="_Toc296347166"/>
      <w:bookmarkStart w:id="418" w:name="_Toc303539136"/>
      <w:bookmarkStart w:id="419" w:name="_Toc296503167"/>
      <w:bookmarkStart w:id="420" w:name="_Toc312678019"/>
      <w:bookmarkStart w:id="421" w:name="_Toc267251424"/>
      <w:bookmarkStart w:id="422" w:name="_Toc280868656"/>
      <w:bookmarkStart w:id="423" w:name="_Toc280868655"/>
      <w:r>
        <w:rPr>
          <w:rFonts w:hint="eastAsia" w:ascii="宋体" w:hAnsi="宋体" w:cs="宋体"/>
          <w:szCs w:val="21"/>
        </w:rPr>
        <w:t>.4材料与工程设备的保管与使用</w:t>
      </w:r>
    </w:p>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Pr>
        <w:spacing w:line="360" w:lineRule="auto"/>
        <w:jc w:val="left"/>
        <w:rPr>
          <w:rFonts w:ascii="宋体" w:hAnsi="宋体" w:cs="宋体"/>
          <w:szCs w:val="21"/>
        </w:rPr>
      </w:pPr>
      <w:r>
        <w:rPr>
          <w:rFonts w:hint="eastAsia" w:ascii="宋体" w:hAnsi="宋体" w:cs="宋体"/>
          <w:szCs w:val="21"/>
        </w:rPr>
        <w:t>8</w:t>
      </w:r>
      <w:bookmarkStart w:id="424" w:name="_Toc292559373"/>
      <w:bookmarkStart w:id="425" w:name="_Toc292559878"/>
      <w:bookmarkStart w:id="426" w:name="_Toc296944507"/>
      <w:bookmarkStart w:id="427" w:name="_Toc296891208"/>
      <w:bookmarkStart w:id="428" w:name="_Toc297216187"/>
      <w:bookmarkStart w:id="429" w:name="_Toc296347167"/>
      <w:bookmarkStart w:id="430" w:name="_Toc296346669"/>
      <w:bookmarkStart w:id="431" w:name="_Toc296890996"/>
      <w:bookmarkStart w:id="432" w:name="_Toc297123528"/>
      <w:bookmarkStart w:id="433" w:name="_Toc312677494"/>
      <w:bookmarkStart w:id="434" w:name="_Toc297048354"/>
      <w:bookmarkStart w:id="435" w:name="_Toc303539137"/>
      <w:bookmarkStart w:id="436" w:name="_Toc318581173"/>
      <w:bookmarkStart w:id="437" w:name="_Toc300934980"/>
      <w:bookmarkStart w:id="438" w:name="_Toc304295557"/>
      <w:bookmarkStart w:id="439" w:name="_Toc297120468"/>
      <w:bookmarkStart w:id="440" w:name="_Toc312678020"/>
      <w:bookmarkStart w:id="441" w:name="_Toc296503168"/>
      <w:r>
        <w:rPr>
          <w:rFonts w:hint="eastAsia" w:ascii="宋体" w:hAnsi="宋体" w:cs="宋体"/>
          <w:szCs w:val="21"/>
        </w:rPr>
        <w:t>.4.1发包人供应的材料设备的保管费用的承担：</w:t>
      </w:r>
      <w:r>
        <w:rPr>
          <w:rFonts w:hint="eastAsia" w:ascii="宋体" w:hAnsi="宋体" w:cs="宋体"/>
          <w:szCs w:val="21"/>
          <w:u w:val="single"/>
        </w:rPr>
        <w:t xml:space="preserve"> 承包人自行承担  </w:t>
      </w:r>
      <w:r>
        <w:rPr>
          <w:rFonts w:hint="eastAsia" w:ascii="宋体" w:hAnsi="宋体" w:cs="宋体"/>
          <w:szCs w:val="21"/>
        </w:rPr>
        <w:t>。</w:t>
      </w:r>
      <w:bookmarkEnd w:id="424"/>
      <w:bookmarkEnd w:id="425"/>
    </w:p>
    <w:p>
      <w:pPr>
        <w:spacing w:line="360" w:lineRule="auto"/>
        <w:jc w:val="left"/>
        <w:rPr>
          <w:rFonts w:ascii="宋体" w:hAnsi="宋体" w:cs="宋体"/>
          <w:szCs w:val="21"/>
        </w:rPr>
      </w:pPr>
      <w:r>
        <w:rPr>
          <w:rFonts w:hint="eastAsia" w:ascii="宋体" w:hAnsi="宋体" w:cs="宋体"/>
          <w:szCs w:val="21"/>
        </w:rPr>
        <w:t>8.6 样品</w:t>
      </w:r>
    </w:p>
    <w:p>
      <w:pPr>
        <w:spacing w:line="360" w:lineRule="auto"/>
        <w:jc w:val="left"/>
        <w:rPr>
          <w:rFonts w:ascii="宋体" w:hAnsi="宋体" w:cs="宋体"/>
          <w:kern w:val="0"/>
          <w:szCs w:val="21"/>
        </w:rPr>
      </w:pPr>
      <w:r>
        <w:rPr>
          <w:rFonts w:hint="eastAsia" w:ascii="宋体" w:hAnsi="宋体" w:cs="宋体"/>
          <w:kern w:val="0"/>
          <w:szCs w:val="21"/>
        </w:rPr>
        <w:t>8.6.1样品的报送与封存</w:t>
      </w:r>
    </w:p>
    <w:p>
      <w:pPr>
        <w:spacing w:line="360" w:lineRule="auto"/>
        <w:jc w:val="left"/>
        <w:rPr>
          <w:rFonts w:ascii="宋体" w:hAnsi="宋体" w:cs="宋体"/>
          <w:szCs w:val="21"/>
        </w:rPr>
      </w:pPr>
      <w:r>
        <w:rPr>
          <w:rFonts w:hint="eastAsia" w:ascii="宋体" w:hAnsi="宋体" w:cs="宋体"/>
          <w:kern w:val="0"/>
          <w:szCs w:val="21"/>
        </w:rPr>
        <w:t>需要承包人报送样品的材料或工程设备，样品的种类、名称、规格、数量要求：</w:t>
      </w:r>
      <w:r>
        <w:rPr>
          <w:rFonts w:hint="eastAsia" w:ascii="宋体" w:hAnsi="宋体" w:cs="宋体"/>
          <w:szCs w:val="21"/>
          <w:u w:val="single"/>
        </w:rPr>
        <w:t xml:space="preserve">无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8.8 施工设备和临时设施</w:t>
      </w:r>
    </w:p>
    <w:p>
      <w:pPr>
        <w:spacing w:line="360" w:lineRule="auto"/>
        <w:jc w:val="left"/>
        <w:rPr>
          <w:rFonts w:ascii="宋体" w:hAnsi="宋体" w:cs="宋体"/>
          <w:szCs w:val="21"/>
        </w:rPr>
      </w:pPr>
      <w:r>
        <w:rPr>
          <w:rFonts w:hint="eastAsia" w:ascii="宋体" w:hAnsi="宋体" w:cs="宋体"/>
          <w:szCs w:val="21"/>
        </w:rPr>
        <w:t>8.8.1 承包人提供的施工设备和临时设施</w:t>
      </w:r>
    </w:p>
    <w:p>
      <w:pPr>
        <w:spacing w:line="360" w:lineRule="auto"/>
        <w:jc w:val="left"/>
        <w:rPr>
          <w:rFonts w:ascii="宋体" w:hAnsi="宋体" w:cs="宋体"/>
          <w:szCs w:val="21"/>
        </w:rPr>
      </w:pPr>
      <w:r>
        <w:rPr>
          <w:rFonts w:hint="eastAsia" w:ascii="宋体" w:hAnsi="宋体" w:cs="宋体"/>
          <w:szCs w:val="21"/>
        </w:rPr>
        <w:t>关于修建临时设施费用承担的约定：</w:t>
      </w:r>
      <w:r>
        <w:rPr>
          <w:rFonts w:hint="eastAsia" w:ascii="宋体" w:hAnsi="宋体" w:cs="宋体"/>
          <w:szCs w:val="21"/>
          <w:u w:val="single"/>
        </w:rPr>
        <w:t>费用由承包人承担。</w:t>
      </w:r>
    </w:p>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spacing w:line="360" w:lineRule="auto"/>
        <w:jc w:val="left"/>
        <w:rPr>
          <w:rFonts w:ascii="宋体" w:hAnsi="宋体" w:cs="宋体"/>
          <w:b/>
          <w:szCs w:val="21"/>
        </w:rPr>
      </w:pPr>
      <w:bookmarkStart w:id="442" w:name="_Toc351203641"/>
      <w:r>
        <w:rPr>
          <w:rFonts w:hint="eastAsia" w:ascii="宋体" w:hAnsi="宋体" w:cs="宋体"/>
          <w:szCs w:val="21"/>
        </w:rPr>
        <w:t>9</w:t>
      </w:r>
      <w:bookmarkEnd w:id="421"/>
      <w:bookmarkEnd w:id="422"/>
      <w:bookmarkEnd w:id="423"/>
      <w:bookmarkStart w:id="443" w:name="_Toc297123533"/>
      <w:bookmarkStart w:id="444" w:name="_Toc300934982"/>
      <w:bookmarkStart w:id="445" w:name="_Toc312678021"/>
      <w:bookmarkStart w:id="446" w:name="_Toc304295559"/>
      <w:bookmarkStart w:id="447" w:name="_Toc303539139"/>
      <w:bookmarkStart w:id="448" w:name="_Toc297216192"/>
      <w:bookmarkStart w:id="449" w:name="_Toc312677495"/>
      <w:bookmarkStart w:id="450" w:name="_Toc267251428"/>
      <w:bookmarkStart w:id="451" w:name="_Toc267251427"/>
      <w:bookmarkStart w:id="452" w:name="_Toc296891001"/>
      <w:bookmarkStart w:id="453" w:name="_Toc296891213"/>
      <w:bookmarkStart w:id="454" w:name="_Toc292559378"/>
      <w:bookmarkStart w:id="455" w:name="_Toc296347172"/>
      <w:bookmarkStart w:id="456" w:name="_Toc297120473"/>
      <w:bookmarkStart w:id="457" w:name="_Toc296503173"/>
      <w:bookmarkStart w:id="458" w:name="_Toc296346674"/>
      <w:bookmarkStart w:id="459" w:name="_Toc297048359"/>
      <w:bookmarkStart w:id="460" w:name="_Toc292559883"/>
      <w:bookmarkStart w:id="461" w:name="_Toc296944512"/>
      <w:r>
        <w:rPr>
          <w:rFonts w:hint="eastAsia" w:ascii="宋体" w:hAnsi="宋体" w:cs="宋体"/>
          <w:szCs w:val="21"/>
        </w:rPr>
        <w:t>. 试验与检验</w:t>
      </w:r>
      <w:bookmarkEnd w:id="442"/>
    </w:p>
    <w:bookmarkEnd w:id="443"/>
    <w:bookmarkEnd w:id="444"/>
    <w:bookmarkEnd w:id="445"/>
    <w:bookmarkEnd w:id="446"/>
    <w:bookmarkEnd w:id="447"/>
    <w:bookmarkEnd w:id="448"/>
    <w:bookmarkEnd w:id="449"/>
    <w:p>
      <w:pPr>
        <w:spacing w:line="360" w:lineRule="auto"/>
        <w:jc w:val="left"/>
        <w:rPr>
          <w:rFonts w:ascii="宋体" w:hAnsi="宋体" w:cs="宋体"/>
          <w:szCs w:val="21"/>
        </w:rPr>
      </w:pPr>
      <w:r>
        <w:rPr>
          <w:rFonts w:hint="eastAsia" w:ascii="宋体" w:hAnsi="宋体" w:cs="宋体"/>
          <w:szCs w:val="21"/>
        </w:rPr>
        <w:t>9</w:t>
      </w:r>
      <w:bookmarkStart w:id="462" w:name="_Toc304295560"/>
      <w:bookmarkStart w:id="463" w:name="_Toc303539140"/>
      <w:bookmarkStart w:id="464" w:name="_Toc297216193"/>
      <w:bookmarkStart w:id="465" w:name="_Toc312678022"/>
      <w:bookmarkStart w:id="466" w:name="_Toc297123534"/>
      <w:bookmarkStart w:id="467" w:name="_Toc312677496"/>
      <w:bookmarkStart w:id="468" w:name="_Toc300934983"/>
      <w:r>
        <w:rPr>
          <w:rFonts w:hint="eastAsia" w:ascii="宋体" w:hAnsi="宋体" w:cs="宋体"/>
          <w:szCs w:val="21"/>
        </w:rPr>
        <w:t>.1试验设备与试验人员</w:t>
      </w:r>
    </w:p>
    <w:bookmarkEnd w:id="462"/>
    <w:bookmarkEnd w:id="463"/>
    <w:bookmarkEnd w:id="464"/>
    <w:bookmarkEnd w:id="465"/>
    <w:bookmarkEnd w:id="466"/>
    <w:bookmarkEnd w:id="467"/>
    <w:bookmarkEnd w:id="468"/>
    <w:p>
      <w:pPr>
        <w:spacing w:line="360" w:lineRule="auto"/>
        <w:jc w:val="left"/>
        <w:rPr>
          <w:rFonts w:ascii="宋体" w:hAnsi="宋体" w:cs="宋体"/>
          <w:szCs w:val="21"/>
        </w:rPr>
      </w:pPr>
      <w:r>
        <w:rPr>
          <w:rFonts w:hint="eastAsia" w:ascii="宋体" w:hAnsi="宋体" w:cs="宋体"/>
          <w:szCs w:val="21"/>
        </w:rPr>
        <w:t>9</w:t>
      </w:r>
      <w:bookmarkStart w:id="469" w:name="_Toc297123535"/>
      <w:bookmarkStart w:id="470" w:name="_Toc304295561"/>
      <w:bookmarkStart w:id="471" w:name="_Toc303539141"/>
      <w:bookmarkStart w:id="472" w:name="_Toc312677497"/>
      <w:bookmarkStart w:id="473" w:name="_Toc300934984"/>
      <w:bookmarkStart w:id="474" w:name="_Toc297216194"/>
      <w:bookmarkStart w:id="475" w:name="_Toc312678023"/>
      <w:bookmarkStart w:id="476" w:name="_Toc318581174"/>
      <w:r>
        <w:rPr>
          <w:rFonts w:hint="eastAsia" w:ascii="宋体" w:hAnsi="宋体" w:cs="宋体"/>
          <w:szCs w:val="21"/>
        </w:rPr>
        <w:t>.1.2 试验设备</w:t>
      </w:r>
    </w:p>
    <w:p>
      <w:pPr>
        <w:spacing w:line="360" w:lineRule="auto"/>
        <w:jc w:val="left"/>
        <w:rPr>
          <w:rFonts w:ascii="宋体" w:hAnsi="宋体" w:cs="宋体"/>
          <w:szCs w:val="21"/>
        </w:rPr>
      </w:pPr>
      <w:r>
        <w:rPr>
          <w:rFonts w:hint="eastAsia" w:ascii="宋体" w:hAnsi="宋体" w:cs="宋体"/>
          <w:szCs w:val="21"/>
        </w:rPr>
        <w:t>施工现场需要配置的试验场所：</w:t>
      </w:r>
      <w:bookmarkEnd w:id="469"/>
      <w:bookmarkEnd w:id="470"/>
      <w:bookmarkEnd w:id="471"/>
      <w:bookmarkEnd w:id="472"/>
      <w:bookmarkEnd w:id="473"/>
      <w:bookmarkEnd w:id="474"/>
      <w:bookmarkEnd w:id="475"/>
      <w:bookmarkStart w:id="477" w:name="_Toc312678024"/>
      <w:bookmarkStart w:id="478" w:name="_Toc297216195"/>
      <w:bookmarkStart w:id="479" w:name="_Toc312677498"/>
      <w:bookmarkStart w:id="480" w:name="_Toc303539142"/>
      <w:bookmarkStart w:id="481" w:name="_Toc300934985"/>
      <w:bookmarkStart w:id="482" w:name="_Toc304295562"/>
      <w:bookmarkStart w:id="483" w:name="_Toc297123536"/>
      <w:r>
        <w:rPr>
          <w:rFonts w:hint="eastAsia" w:ascii="宋体" w:hAnsi="宋体" w:cs="宋体"/>
          <w:szCs w:val="21"/>
          <w:u w:val="single"/>
        </w:rPr>
        <w:t xml:space="preserve">      不采用         </w:t>
      </w:r>
      <w:r>
        <w:rPr>
          <w:rFonts w:hint="eastAsia" w:ascii="宋体" w:hAnsi="宋体" w:cs="宋体"/>
          <w:szCs w:val="21"/>
        </w:rPr>
        <w:t xml:space="preserve">。 </w:t>
      </w:r>
    </w:p>
    <w:p>
      <w:pPr>
        <w:spacing w:line="360" w:lineRule="auto"/>
        <w:jc w:val="left"/>
        <w:rPr>
          <w:rFonts w:ascii="宋体" w:hAnsi="宋体" w:cs="宋体"/>
          <w:szCs w:val="21"/>
        </w:rPr>
      </w:pPr>
      <w:r>
        <w:rPr>
          <w:rFonts w:hint="eastAsia" w:ascii="宋体" w:hAnsi="宋体" w:cs="宋体"/>
          <w:szCs w:val="21"/>
        </w:rPr>
        <w:t>施工现场需要配备的试验设备：</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施工现场需要具备的其他试验条件：</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 xml:space="preserve">9.4 现场工艺试验 </w:t>
      </w:r>
    </w:p>
    <w:p>
      <w:pPr>
        <w:spacing w:line="360" w:lineRule="auto"/>
        <w:jc w:val="left"/>
        <w:rPr>
          <w:rFonts w:ascii="宋体" w:hAnsi="宋体" w:cs="宋体"/>
          <w:szCs w:val="21"/>
        </w:rPr>
      </w:pPr>
      <w:r>
        <w:rPr>
          <w:rFonts w:hint="eastAsia" w:ascii="宋体" w:hAnsi="宋体" w:cs="宋体"/>
          <w:szCs w:val="21"/>
        </w:rPr>
        <w:t>现场工艺试验的有关约定：</w:t>
      </w:r>
      <w:r>
        <w:rPr>
          <w:rFonts w:hint="eastAsia" w:ascii="宋体" w:hAnsi="宋体" w:cs="宋体"/>
          <w:szCs w:val="21"/>
          <w:u w:val="single"/>
        </w:rPr>
        <w:t>承包人应按监理人指示进行现场工艺试验。对大型的现场工艺试验，监理人认为必要时，承包人应根据监理人提出的工艺试验要求，编制工艺试验措施计划，报送监理人审查。</w:t>
      </w:r>
    </w:p>
    <w:bookmarkEnd w:id="476"/>
    <w:bookmarkEnd w:id="477"/>
    <w:bookmarkEnd w:id="478"/>
    <w:bookmarkEnd w:id="479"/>
    <w:bookmarkEnd w:id="480"/>
    <w:bookmarkEnd w:id="481"/>
    <w:bookmarkEnd w:id="482"/>
    <w:bookmarkEnd w:id="483"/>
    <w:p>
      <w:pPr>
        <w:spacing w:line="360" w:lineRule="auto"/>
        <w:jc w:val="left"/>
        <w:rPr>
          <w:rFonts w:ascii="宋体" w:hAnsi="宋体" w:cs="宋体"/>
          <w:b/>
          <w:szCs w:val="21"/>
        </w:rPr>
      </w:pPr>
      <w:bookmarkStart w:id="484" w:name="_Toc351203642"/>
      <w:r>
        <w:rPr>
          <w:rFonts w:hint="eastAsia" w:ascii="宋体" w:hAnsi="宋体" w:cs="宋体"/>
          <w:szCs w:val="21"/>
        </w:rPr>
        <w:t>1</w:t>
      </w:r>
      <w:bookmarkEnd w:id="450"/>
      <w:bookmarkEnd w:id="451"/>
      <w:bookmarkEnd w:id="452"/>
      <w:bookmarkEnd w:id="453"/>
      <w:bookmarkEnd w:id="454"/>
      <w:bookmarkEnd w:id="455"/>
      <w:bookmarkEnd w:id="456"/>
      <w:bookmarkEnd w:id="457"/>
      <w:bookmarkEnd w:id="458"/>
      <w:bookmarkEnd w:id="459"/>
      <w:bookmarkEnd w:id="460"/>
      <w:bookmarkEnd w:id="461"/>
      <w:bookmarkStart w:id="485" w:name="_Toc296346694"/>
      <w:bookmarkStart w:id="486" w:name="_Toc297216199"/>
      <w:bookmarkStart w:id="487" w:name="_Toc296891021"/>
      <w:bookmarkStart w:id="488" w:name="_Toc292559398"/>
      <w:bookmarkStart w:id="489" w:name="_Toc296503193"/>
      <w:bookmarkStart w:id="490" w:name="_Toc297120493"/>
      <w:bookmarkStart w:id="491" w:name="_Toc303539146"/>
      <w:bookmarkStart w:id="492" w:name="_Toc296944532"/>
      <w:bookmarkStart w:id="493" w:name="_Toc297123540"/>
      <w:bookmarkStart w:id="494" w:name="_Toc297048379"/>
      <w:bookmarkStart w:id="495" w:name="_Toc292559903"/>
      <w:bookmarkStart w:id="496" w:name="_Toc296347192"/>
      <w:bookmarkStart w:id="497" w:name="_Toc296891233"/>
      <w:bookmarkStart w:id="498" w:name="_Toc304295566"/>
      <w:bookmarkStart w:id="499" w:name="_Toc300934989"/>
      <w:bookmarkStart w:id="500" w:name="_Toc312678025"/>
      <w:bookmarkStart w:id="501" w:name="_Toc312677499"/>
      <w:bookmarkStart w:id="502" w:name="_Toc267251439"/>
      <w:bookmarkStart w:id="503" w:name="_Toc267251441"/>
      <w:bookmarkStart w:id="504" w:name="_Toc267251437"/>
      <w:bookmarkStart w:id="505" w:name="_Toc267251435"/>
      <w:bookmarkStart w:id="506" w:name="_Toc267251433"/>
      <w:bookmarkStart w:id="507" w:name="_Toc267251440"/>
      <w:bookmarkStart w:id="508" w:name="_Toc267251442"/>
      <w:r>
        <w:rPr>
          <w:rFonts w:hint="eastAsia" w:ascii="宋体" w:hAnsi="宋体" w:cs="宋体"/>
          <w:szCs w:val="21"/>
        </w:rPr>
        <w:t>0. 变更</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p>
    <w:bookmarkEnd w:id="500"/>
    <w:bookmarkEnd w:id="501"/>
    <w:p>
      <w:pPr>
        <w:spacing w:line="360" w:lineRule="auto"/>
        <w:jc w:val="left"/>
        <w:rPr>
          <w:rFonts w:ascii="宋体" w:hAnsi="宋体" w:cs="宋体"/>
          <w:szCs w:val="21"/>
        </w:rPr>
      </w:pPr>
      <w:r>
        <w:rPr>
          <w:rFonts w:hint="eastAsia" w:ascii="宋体" w:hAnsi="宋体" w:cs="宋体"/>
          <w:szCs w:val="21"/>
        </w:rPr>
        <w:t>1</w:t>
      </w:r>
      <w:bookmarkStart w:id="509" w:name="_Toc296346695"/>
      <w:bookmarkStart w:id="510" w:name="_Toc304295567"/>
      <w:bookmarkStart w:id="511" w:name="_Toc292559904"/>
      <w:bookmarkStart w:id="512" w:name="_Toc312677500"/>
      <w:bookmarkStart w:id="513" w:name="_Toc292559399"/>
      <w:bookmarkStart w:id="514" w:name="_Toc312678026"/>
      <w:bookmarkStart w:id="515" w:name="_Toc296891022"/>
      <w:bookmarkStart w:id="516" w:name="_Toc297216200"/>
      <w:bookmarkStart w:id="517" w:name="_Toc296347193"/>
      <w:bookmarkStart w:id="518" w:name="_Toc303539147"/>
      <w:bookmarkStart w:id="519" w:name="_Toc297120494"/>
      <w:bookmarkStart w:id="520" w:name="_Toc297048380"/>
      <w:bookmarkStart w:id="521" w:name="_Toc296891234"/>
      <w:bookmarkStart w:id="522" w:name="_Toc297123541"/>
      <w:bookmarkStart w:id="523" w:name="_Toc296503194"/>
      <w:bookmarkStart w:id="524" w:name="_Toc300934990"/>
      <w:bookmarkStart w:id="525" w:name="_Toc296944533"/>
      <w:r>
        <w:rPr>
          <w:rFonts w:hint="eastAsia" w:ascii="宋体" w:hAnsi="宋体" w:cs="宋体"/>
          <w:szCs w:val="21"/>
        </w:rPr>
        <w:t>0.1变更的范围</w:t>
      </w:r>
    </w:p>
    <w:p>
      <w:pPr>
        <w:spacing w:line="360" w:lineRule="auto"/>
        <w:jc w:val="left"/>
        <w:rPr>
          <w:rFonts w:ascii="宋体" w:hAnsi="宋体" w:cs="宋体"/>
          <w:szCs w:val="21"/>
        </w:rPr>
      </w:pPr>
      <w:r>
        <w:rPr>
          <w:rFonts w:hint="eastAsia" w:ascii="宋体" w:hAnsi="宋体" w:cs="宋体"/>
          <w:szCs w:val="21"/>
        </w:rPr>
        <w:t>10.1.1关于变更的范围的约定：</w:t>
      </w:r>
    </w:p>
    <w:p>
      <w:pPr>
        <w:snapToGrid w:val="0"/>
        <w:spacing w:line="500" w:lineRule="exact"/>
        <w:ind w:firstLine="420" w:firstLineChars="200"/>
        <w:rPr>
          <w:rFonts w:ascii="宋体" w:hAnsi="宋体" w:cs="宋体"/>
          <w:kern w:val="0"/>
          <w:szCs w:val="21"/>
        </w:rPr>
      </w:pPr>
      <w:r>
        <w:rPr>
          <w:rFonts w:hint="eastAsia" w:ascii="宋体" w:hAnsi="宋体" w:cs="宋体"/>
          <w:kern w:val="0"/>
          <w:szCs w:val="21"/>
          <w:u w:val="single"/>
        </w:rPr>
        <w:t>所有工程变更必须征得发包人的同意签认后，才可以实施。需进行设计变更的，由承包人向发包人提出，经发包人同意后，由发包人进行设计变更。</w:t>
      </w:r>
    </w:p>
    <w:p>
      <w:pPr>
        <w:spacing w:line="360" w:lineRule="auto"/>
        <w:ind w:firstLine="315" w:firstLineChars="150"/>
        <w:jc w:val="left"/>
        <w:rPr>
          <w:rFonts w:ascii="宋体" w:hAnsi="宋体" w:cs="宋体"/>
          <w:kern w:val="0"/>
          <w:szCs w:val="21"/>
        </w:rPr>
      </w:pPr>
      <w:r>
        <w:rPr>
          <w:rFonts w:hint="eastAsia" w:ascii="宋体" w:hAnsi="宋体" w:cs="宋体"/>
          <w:kern w:val="0"/>
          <w:szCs w:val="21"/>
        </w:rPr>
        <w:t>施工中发生工程变更，承包人按照经发包人认可的变更设计文件及现场签证单，进行变更施工。</w:t>
      </w:r>
    </w:p>
    <w:p>
      <w:pPr>
        <w:spacing w:line="360" w:lineRule="auto"/>
        <w:jc w:val="left"/>
        <w:rPr>
          <w:rFonts w:ascii="宋体" w:hAnsi="宋体" w:cs="宋体"/>
          <w:szCs w:val="21"/>
        </w:rPr>
      </w:pPr>
      <w:r>
        <w:rPr>
          <w:rFonts w:hint="eastAsia" w:ascii="宋体" w:hAnsi="宋体" w:cs="宋体"/>
          <w:kern w:val="0"/>
          <w:szCs w:val="21"/>
        </w:rPr>
        <w:t>10.1.2</w:t>
      </w:r>
      <w:r>
        <w:rPr>
          <w:rFonts w:hint="eastAsia" w:ascii="宋体" w:hAnsi="宋体" w:cs="宋体"/>
          <w:szCs w:val="21"/>
        </w:rPr>
        <w:t>变更的提出：</w:t>
      </w:r>
    </w:p>
    <w:p>
      <w:pPr>
        <w:spacing w:line="500" w:lineRule="exact"/>
        <w:ind w:firstLine="420" w:firstLineChars="200"/>
        <w:rPr>
          <w:rFonts w:ascii="宋体" w:hAnsi="宋体" w:cs="宋体"/>
          <w:szCs w:val="21"/>
        </w:rPr>
      </w:pPr>
      <w:r>
        <w:rPr>
          <w:rFonts w:hint="eastAsia" w:ascii="宋体" w:hAnsi="宋体" w:cs="宋体"/>
          <w:szCs w:val="21"/>
        </w:rPr>
        <w:t>（1）承包人提出变更设计，必须征得发包人同意，并经发包人确认后的费用由责任方承担。</w:t>
      </w:r>
    </w:p>
    <w:p>
      <w:pPr>
        <w:spacing w:line="500" w:lineRule="exact"/>
        <w:ind w:firstLine="420" w:firstLineChars="200"/>
        <w:rPr>
          <w:rFonts w:ascii="宋体" w:hAnsi="宋体" w:cs="宋体"/>
          <w:szCs w:val="21"/>
        </w:rPr>
      </w:pPr>
      <w:r>
        <w:rPr>
          <w:rFonts w:hint="eastAsia" w:ascii="宋体" w:hAnsi="宋体" w:cs="宋体"/>
          <w:szCs w:val="21"/>
        </w:rPr>
        <w:t>（2）承包人在施工中提出的合理化建议涉及到对设计图纸或施工组织设计的更改及对材料、设备的换用，须经发包人同意。未经同意擅自更改或换用时，承包人承担由此发生的费用，并赔偿发包人的有关损失，延误的工期不予顺延。</w:t>
      </w:r>
    </w:p>
    <w:p>
      <w:pPr>
        <w:spacing w:line="360" w:lineRule="auto"/>
        <w:ind w:firstLine="420" w:firstLineChars="200"/>
        <w:jc w:val="left"/>
        <w:rPr>
          <w:rFonts w:ascii="宋体" w:hAnsi="宋体" w:cs="宋体"/>
          <w:szCs w:val="21"/>
          <w:u w:val="single"/>
        </w:rPr>
      </w:pPr>
      <w:r>
        <w:rPr>
          <w:rFonts w:hint="eastAsia" w:ascii="宋体" w:hAnsi="宋体" w:cs="宋体"/>
          <w:szCs w:val="21"/>
        </w:rPr>
        <w:t>（3）因承包人自身原因导致工程变更，承包人无权要求追加合同价款。</w:t>
      </w:r>
    </w:p>
    <w:p>
      <w:pPr>
        <w:spacing w:line="360" w:lineRule="auto"/>
        <w:jc w:val="left"/>
        <w:rPr>
          <w:rFonts w:ascii="宋体" w:hAnsi="宋体" w:cs="宋体"/>
          <w:szCs w:val="21"/>
        </w:rPr>
      </w:pPr>
      <w:r>
        <w:rPr>
          <w:rFonts w:hint="eastAsia" w:ascii="宋体" w:hAnsi="宋体" w:cs="宋体"/>
          <w:szCs w:val="21"/>
        </w:rPr>
        <w:t>10.4 变更估价</w:t>
      </w:r>
    </w:p>
    <w:p>
      <w:pPr>
        <w:spacing w:line="500" w:lineRule="exact"/>
        <w:ind w:firstLine="480"/>
        <w:rPr>
          <w:rFonts w:ascii="宋体" w:hAnsi="宋体" w:cs="宋体"/>
          <w:szCs w:val="21"/>
        </w:rPr>
      </w:pPr>
      <w:r>
        <w:rPr>
          <w:rFonts w:hint="eastAsia" w:ascii="宋体" w:hAnsi="宋体" w:cs="宋体"/>
          <w:szCs w:val="21"/>
        </w:rPr>
        <w:t>承包人在双方确定变更后7天内不向发包人提出增加工程价款报告时，视为该项变更不涉及合同价款的变更。</w:t>
      </w:r>
    </w:p>
    <w:p>
      <w:pPr>
        <w:spacing w:line="360" w:lineRule="auto"/>
        <w:jc w:val="left"/>
        <w:rPr>
          <w:rFonts w:ascii="宋体" w:hAnsi="宋体" w:cs="宋体"/>
          <w:szCs w:val="21"/>
        </w:rPr>
      </w:pPr>
      <w:r>
        <w:rPr>
          <w:rFonts w:hint="eastAsia" w:ascii="宋体" w:hAnsi="宋体" w:cs="宋体"/>
          <w:szCs w:val="21"/>
        </w:rPr>
        <w:t>10.4.1 变更估价原则</w:t>
      </w:r>
    </w:p>
    <w:p>
      <w:pPr>
        <w:ind w:firstLine="424" w:firstLineChars="202"/>
        <w:rPr>
          <w:rFonts w:ascii="宋体" w:hAnsi="宋体" w:cs="宋体"/>
          <w:szCs w:val="21"/>
        </w:rPr>
      </w:pPr>
      <w:r>
        <w:rPr>
          <w:rFonts w:hint="eastAsia" w:ascii="宋体" w:hAnsi="宋体" w:cs="宋体"/>
          <w:szCs w:val="21"/>
        </w:rPr>
        <w:t>1、合同承包范围内的变更内容（见合同协议书第一条中的第3条分包工作范围），同合同计价原则。</w:t>
      </w:r>
    </w:p>
    <w:p>
      <w:pPr>
        <w:spacing w:line="40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、由发包单位现场项目部追加的钢结构合同范围外的工作任务，按工作任务书确定的工作任务，按市场行情进行核价。</w:t>
      </w:r>
    </w:p>
    <w:p>
      <w:pPr>
        <w:spacing w:line="400" w:lineRule="exact"/>
        <w:ind w:firstLine="420" w:firstLineChars="200"/>
        <w:rPr>
          <w:rFonts w:ascii="宋体" w:hAnsi="宋体" w:cs="宋体"/>
          <w:szCs w:val="21"/>
        </w:rPr>
      </w:pPr>
      <w:r>
        <w:rPr>
          <w:rFonts w:hint="eastAsia" w:ascii="宋体" w:hAnsi="宋体" w:cs="宋体"/>
          <w:szCs w:val="21"/>
        </w:rPr>
        <w:t>3、合同范围内的零星计日工按2008重庆市定额及相关文件规定办理签证；合同范围外由发包单位现场项目部追加的工作任务，发生的零星计日工单价：技工含税包干单价按24</w:t>
      </w:r>
      <w:r>
        <w:rPr>
          <w:rFonts w:ascii="宋体" w:hAnsi="宋体" w:cs="宋体"/>
          <w:szCs w:val="21"/>
        </w:rPr>
        <w:t>0</w:t>
      </w:r>
      <w:r>
        <w:rPr>
          <w:rFonts w:hint="eastAsia" w:ascii="宋体" w:hAnsi="宋体" w:cs="宋体"/>
          <w:szCs w:val="21"/>
        </w:rPr>
        <w:t>元/工日；普工含税单价按14</w:t>
      </w:r>
      <w:r>
        <w:rPr>
          <w:rFonts w:ascii="宋体" w:hAnsi="宋体" w:cs="宋体"/>
          <w:szCs w:val="21"/>
        </w:rPr>
        <w:t>0</w:t>
      </w:r>
      <w:r>
        <w:rPr>
          <w:rFonts w:hint="eastAsia" w:ascii="宋体" w:hAnsi="宋体" w:cs="宋体"/>
          <w:szCs w:val="21"/>
        </w:rPr>
        <w:t>元/工日计算。</w:t>
      </w:r>
    </w:p>
    <w:p>
      <w:pPr>
        <w:spacing w:line="360" w:lineRule="auto"/>
        <w:jc w:val="left"/>
        <w:rPr>
          <w:rFonts w:ascii="宋体" w:hAnsi="宋体" w:cs="宋体"/>
          <w:szCs w:val="21"/>
        </w:rPr>
      </w:pPr>
      <w:r>
        <w:rPr>
          <w:rFonts w:hint="eastAsia" w:ascii="宋体" w:hAnsi="宋体" w:cs="宋体"/>
          <w:szCs w:val="21"/>
        </w:rPr>
        <w:t>1</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Start w:id="526" w:name="_Toc292559402"/>
      <w:bookmarkStart w:id="527" w:name="_Toc296891025"/>
      <w:bookmarkStart w:id="528" w:name="_Toc292559907"/>
      <w:bookmarkStart w:id="529" w:name="_Toc296346698"/>
      <w:bookmarkStart w:id="530" w:name="_Toc296944536"/>
      <w:bookmarkStart w:id="531" w:name="_Toc297048383"/>
      <w:bookmarkStart w:id="532" w:name="_Toc297216203"/>
      <w:bookmarkStart w:id="533" w:name="_Toc303539150"/>
      <w:bookmarkStart w:id="534" w:name="_Toc296347196"/>
      <w:bookmarkStart w:id="535" w:name="_Toc300934993"/>
      <w:bookmarkStart w:id="536" w:name="_Toc297120497"/>
      <w:bookmarkStart w:id="537" w:name="_Toc297123544"/>
      <w:bookmarkStart w:id="538" w:name="_Toc296891237"/>
      <w:bookmarkStart w:id="539" w:name="_Toc296503197"/>
      <w:bookmarkStart w:id="540" w:name="_Toc312677503"/>
      <w:bookmarkStart w:id="541" w:name="_Toc312678029"/>
      <w:bookmarkStart w:id="542" w:name="_Toc304295570"/>
      <w:r>
        <w:rPr>
          <w:rFonts w:hint="eastAsia" w:ascii="宋体" w:hAnsi="宋体" w:cs="宋体"/>
          <w:szCs w:val="21"/>
        </w:rPr>
        <w:t>0.5承</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Start w:id="543" w:name="_Toc297120503"/>
      <w:bookmarkStart w:id="544" w:name="_Toc296347202"/>
      <w:bookmarkStart w:id="545" w:name="_Toc296891243"/>
      <w:bookmarkStart w:id="546" w:name="_Toc303539151"/>
      <w:bookmarkStart w:id="547" w:name="_Toc296503203"/>
      <w:bookmarkStart w:id="548" w:name="_Toc297123545"/>
      <w:bookmarkStart w:id="549" w:name="_Toc297048389"/>
      <w:bookmarkStart w:id="550" w:name="_Toc296944542"/>
      <w:bookmarkStart w:id="551" w:name="_Toc297216204"/>
      <w:bookmarkStart w:id="552" w:name="_Toc296346704"/>
      <w:bookmarkStart w:id="553" w:name="_Toc292559913"/>
      <w:bookmarkStart w:id="554" w:name="_Toc292559408"/>
      <w:bookmarkStart w:id="555" w:name="_Toc300934994"/>
      <w:bookmarkStart w:id="556" w:name="_Toc296891031"/>
      <w:r>
        <w:rPr>
          <w:rFonts w:hint="eastAsia" w:ascii="宋体" w:hAnsi="宋体" w:cs="宋体"/>
          <w:szCs w:val="21"/>
        </w:rPr>
        <w:t>包人的合理化建议</w:t>
      </w:r>
    </w:p>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p>
      <w:pPr>
        <w:spacing w:line="360" w:lineRule="auto"/>
        <w:jc w:val="left"/>
        <w:rPr>
          <w:rFonts w:ascii="宋体" w:hAnsi="宋体" w:cs="宋体"/>
          <w:szCs w:val="21"/>
        </w:rPr>
      </w:pPr>
      <w:r>
        <w:rPr>
          <w:rFonts w:hint="eastAsia" w:ascii="宋体" w:hAnsi="宋体" w:cs="宋体"/>
          <w:szCs w:val="21"/>
        </w:rPr>
        <w:t>监理人审查承包人合理化建议的期限：</w:t>
      </w:r>
      <w:r>
        <w:rPr>
          <w:rFonts w:hint="eastAsia" w:ascii="宋体" w:hAnsi="宋体" w:cs="宋体"/>
          <w:szCs w:val="21"/>
          <w:u w:val="single"/>
        </w:rPr>
        <w:t xml:space="preserve">   收到后7天内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发包人审批承包人合理化建议的期限：</w:t>
      </w:r>
      <w:r>
        <w:rPr>
          <w:rFonts w:hint="eastAsia" w:ascii="宋体" w:hAnsi="宋体" w:cs="宋体"/>
          <w:szCs w:val="21"/>
          <w:u w:val="single"/>
        </w:rPr>
        <w:t xml:space="preserve">   收到后7天内     </w:t>
      </w:r>
      <w:r>
        <w:rPr>
          <w:rFonts w:hint="eastAsia" w:ascii="宋体" w:hAnsi="宋体" w:cs="宋体"/>
          <w:szCs w:val="21"/>
        </w:rPr>
        <w:t>。</w:t>
      </w:r>
    </w:p>
    <w:p>
      <w:pPr>
        <w:spacing w:line="360" w:lineRule="auto"/>
        <w:jc w:val="left"/>
        <w:rPr>
          <w:rFonts w:ascii="宋体" w:hAnsi="宋体" w:cs="宋体"/>
          <w:szCs w:val="21"/>
          <w:u w:val="single"/>
        </w:rPr>
      </w:pPr>
      <w:r>
        <w:rPr>
          <w:rFonts w:hint="eastAsia" w:ascii="宋体" w:hAnsi="宋体" w:cs="宋体"/>
          <w:szCs w:val="21"/>
        </w:rPr>
        <w:t>承</w:t>
      </w:r>
      <w:bookmarkStart w:id="557" w:name="_Toc292559914"/>
      <w:bookmarkStart w:id="558" w:name="_Toc296891244"/>
      <w:bookmarkStart w:id="559" w:name="_Toc303539152"/>
      <w:bookmarkStart w:id="560" w:name="_Toc296346705"/>
      <w:bookmarkStart w:id="561" w:name="_Toc297048390"/>
      <w:bookmarkStart w:id="562" w:name="_Toc304295571"/>
      <w:bookmarkStart w:id="563" w:name="_Toc296891032"/>
      <w:bookmarkStart w:id="564" w:name="_Toc296347203"/>
      <w:bookmarkStart w:id="565" w:name="_Toc318581175"/>
      <w:bookmarkStart w:id="566" w:name="_Toc296944543"/>
      <w:bookmarkStart w:id="567" w:name="_Toc297123546"/>
      <w:bookmarkStart w:id="568" w:name="_Toc312678030"/>
      <w:bookmarkStart w:id="569" w:name="_Toc297216205"/>
      <w:bookmarkStart w:id="570" w:name="_Toc297120504"/>
      <w:bookmarkStart w:id="571" w:name="_Toc292559409"/>
      <w:bookmarkStart w:id="572" w:name="_Toc312677504"/>
      <w:bookmarkStart w:id="573" w:name="_Toc300934995"/>
      <w:bookmarkStart w:id="574" w:name="_Toc296503204"/>
      <w:r>
        <w:rPr>
          <w:rFonts w:hint="eastAsia" w:ascii="宋体" w:hAnsi="宋体" w:cs="宋体"/>
          <w:szCs w:val="21"/>
        </w:rPr>
        <w:t>包人提出的合理化建议降低了合同价格或者提高了工程经济效益的奖励的方法和金额为：</w:t>
      </w:r>
      <w:r>
        <w:rPr>
          <w:rFonts w:hint="eastAsia" w:ascii="宋体" w:hAnsi="宋体" w:cs="宋体"/>
          <w:szCs w:val="21"/>
          <w:u w:val="single"/>
        </w:rPr>
        <w:t xml:space="preserve"> 不采用  </w:t>
      </w:r>
      <w:r>
        <w:rPr>
          <w:rFonts w:hint="eastAsia" w:ascii="宋体" w:hAnsi="宋体" w:cs="宋体"/>
          <w:szCs w:val="21"/>
        </w:rPr>
        <w:t>。</w:t>
      </w:r>
    </w:p>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p>
      <w:pPr>
        <w:spacing w:line="360" w:lineRule="auto"/>
        <w:jc w:val="left"/>
        <w:rPr>
          <w:rFonts w:ascii="宋体" w:hAnsi="宋体" w:cs="宋体"/>
          <w:szCs w:val="21"/>
        </w:rPr>
      </w:pPr>
      <w:r>
        <w:rPr>
          <w:rFonts w:hint="eastAsia" w:ascii="宋体" w:hAnsi="宋体" w:cs="宋体"/>
          <w:szCs w:val="21"/>
        </w:rPr>
        <w:t>10.8 暂列金额</w:t>
      </w:r>
    </w:p>
    <w:p>
      <w:pPr>
        <w:spacing w:line="360" w:lineRule="auto"/>
        <w:jc w:val="left"/>
        <w:rPr>
          <w:rFonts w:ascii="宋体" w:hAnsi="宋体" w:cs="宋体"/>
          <w:kern w:val="0"/>
          <w:szCs w:val="21"/>
        </w:rPr>
      </w:pPr>
      <w:r>
        <w:rPr>
          <w:rFonts w:hint="eastAsia" w:ascii="宋体" w:hAnsi="宋体" w:cs="宋体"/>
          <w:kern w:val="0"/>
          <w:szCs w:val="21"/>
        </w:rPr>
        <w:t>合同当事人关于暂列金额使用的约定：</w:t>
      </w:r>
      <w:r>
        <w:rPr>
          <w:rFonts w:hint="eastAsia" w:ascii="宋体" w:hAnsi="宋体" w:cs="宋体"/>
          <w:szCs w:val="21"/>
          <w:u w:val="single"/>
        </w:rPr>
        <w:t xml:space="preserve">无 </w:t>
      </w:r>
      <w:r>
        <w:rPr>
          <w:rFonts w:hint="eastAsia" w:ascii="宋体" w:hAnsi="宋体" w:cs="宋体"/>
          <w:kern w:val="0"/>
          <w:szCs w:val="21"/>
        </w:rPr>
        <w:t>。</w:t>
      </w:r>
    </w:p>
    <w:p>
      <w:pPr>
        <w:spacing w:line="360" w:lineRule="auto"/>
        <w:jc w:val="left"/>
        <w:rPr>
          <w:rFonts w:ascii="宋体" w:hAnsi="宋体" w:cs="宋体"/>
          <w:b/>
          <w:szCs w:val="21"/>
        </w:rPr>
      </w:pPr>
      <w:bookmarkStart w:id="575" w:name="_Toc351203643"/>
      <w:r>
        <w:rPr>
          <w:rFonts w:hint="eastAsia" w:ascii="宋体" w:hAnsi="宋体" w:cs="宋体"/>
          <w:szCs w:val="21"/>
        </w:rPr>
        <w:t>11. 价格调整</w:t>
      </w:r>
      <w:bookmarkEnd w:id="575"/>
    </w:p>
    <w:p>
      <w:pPr>
        <w:spacing w:line="360" w:lineRule="auto"/>
        <w:jc w:val="left"/>
        <w:rPr>
          <w:rFonts w:ascii="宋体" w:hAnsi="宋体" w:cs="宋体"/>
          <w:szCs w:val="21"/>
        </w:rPr>
      </w:pPr>
      <w:bookmarkStart w:id="576" w:name="_Toc292559406"/>
      <w:bookmarkStart w:id="577" w:name="_Toc312678039"/>
      <w:bookmarkStart w:id="578" w:name="_Toc296944540"/>
      <w:bookmarkStart w:id="579" w:name="_Toc297123550"/>
      <w:bookmarkStart w:id="580" w:name="_Toc304295577"/>
      <w:bookmarkStart w:id="581" w:name="_Toc297048387"/>
      <w:bookmarkStart w:id="582" w:name="_Toc296346702"/>
      <w:bookmarkStart w:id="583" w:name="_Toc296891029"/>
      <w:bookmarkStart w:id="584" w:name="_Toc292559911"/>
      <w:bookmarkStart w:id="585" w:name="_Toc296347200"/>
      <w:bookmarkStart w:id="586" w:name="_Toc303539157"/>
      <w:bookmarkStart w:id="587" w:name="_Toc300935000"/>
      <w:bookmarkStart w:id="588" w:name="_Toc296891241"/>
      <w:bookmarkStart w:id="589" w:name="_Toc297216209"/>
      <w:bookmarkStart w:id="590" w:name="_Toc297120501"/>
      <w:bookmarkStart w:id="591" w:name="_Toc296503201"/>
      <w:r>
        <w:rPr>
          <w:rFonts w:hint="eastAsia" w:ascii="宋体" w:hAnsi="宋体" w:cs="宋体"/>
          <w:szCs w:val="21"/>
        </w:rPr>
        <w:t>11.1 市场价格波动引起的调整</w:t>
      </w:r>
    </w:p>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p>
      <w:pPr>
        <w:spacing w:line="360" w:lineRule="auto"/>
        <w:jc w:val="left"/>
        <w:rPr>
          <w:rFonts w:ascii="宋体" w:hAnsi="宋体" w:cs="宋体"/>
          <w:szCs w:val="21"/>
        </w:rPr>
      </w:pPr>
      <w:r>
        <w:rPr>
          <w:rFonts w:hint="eastAsia" w:ascii="宋体" w:hAnsi="宋体" w:cs="宋体"/>
          <w:kern w:val="0"/>
          <w:szCs w:val="21"/>
        </w:rPr>
        <w:t>市场价格波动是否调整合同价格的约定：</w:t>
      </w:r>
      <w:r>
        <w:rPr>
          <w:rFonts w:hint="eastAsia" w:ascii="宋体" w:hAnsi="宋体" w:cs="宋体"/>
          <w:szCs w:val="21"/>
          <w:u w:val="single"/>
        </w:rPr>
        <w:t xml:space="preserve">   不采用  </w:t>
      </w:r>
      <w:r>
        <w:rPr>
          <w:rFonts w:hint="eastAsia" w:ascii="宋体" w:hAnsi="宋体" w:cs="宋体"/>
          <w:szCs w:val="21"/>
        </w:rPr>
        <w:t>。</w:t>
      </w:r>
    </w:p>
    <w:bookmarkEnd w:id="502"/>
    <w:bookmarkEnd w:id="503"/>
    <w:bookmarkEnd w:id="504"/>
    <w:bookmarkEnd w:id="505"/>
    <w:bookmarkEnd w:id="506"/>
    <w:bookmarkEnd w:id="507"/>
    <w:p>
      <w:pPr>
        <w:spacing w:line="360" w:lineRule="auto"/>
        <w:jc w:val="left"/>
        <w:rPr>
          <w:rFonts w:ascii="宋体" w:hAnsi="宋体" w:cs="宋体"/>
          <w:b/>
          <w:szCs w:val="21"/>
        </w:rPr>
      </w:pPr>
      <w:bookmarkStart w:id="592" w:name="_Toc296891245"/>
      <w:bookmarkStart w:id="593" w:name="_Toc292559410"/>
      <w:bookmarkStart w:id="594" w:name="_Toc296891033"/>
      <w:bookmarkStart w:id="595" w:name="_Toc297048391"/>
      <w:bookmarkStart w:id="596" w:name="_Toc296944544"/>
      <w:bookmarkStart w:id="597" w:name="_Toc292559915"/>
      <w:bookmarkStart w:id="598" w:name="_Toc296347204"/>
      <w:bookmarkStart w:id="599" w:name="_Toc297120505"/>
      <w:bookmarkStart w:id="600" w:name="_Toc296503205"/>
      <w:bookmarkStart w:id="601" w:name="_Toc296346706"/>
      <w:bookmarkStart w:id="602" w:name="_Toc351203644"/>
      <w:bookmarkStart w:id="603" w:name="_Toc312678040"/>
      <w:bookmarkStart w:id="604" w:name="_Toc304295579"/>
      <w:bookmarkStart w:id="605" w:name="_Toc303539159"/>
      <w:bookmarkStart w:id="606" w:name="_Toc300935002"/>
      <w:bookmarkStart w:id="607" w:name="_Toc297123552"/>
      <w:bookmarkStart w:id="608" w:name="_Toc297216211"/>
      <w:r>
        <w:rPr>
          <w:rFonts w:hint="eastAsia" w:ascii="宋体" w:hAnsi="宋体" w:cs="宋体"/>
          <w:szCs w:val="21"/>
        </w:rPr>
        <w:t xml:space="preserve">12. </w:t>
      </w:r>
      <w:bookmarkEnd w:id="592"/>
      <w:bookmarkEnd w:id="593"/>
      <w:bookmarkEnd w:id="594"/>
      <w:bookmarkEnd w:id="595"/>
      <w:bookmarkEnd w:id="596"/>
      <w:bookmarkEnd w:id="597"/>
      <w:bookmarkEnd w:id="598"/>
      <w:bookmarkEnd w:id="599"/>
      <w:bookmarkEnd w:id="600"/>
      <w:bookmarkEnd w:id="601"/>
      <w:r>
        <w:rPr>
          <w:rFonts w:hint="eastAsia" w:ascii="宋体" w:hAnsi="宋体" w:cs="宋体"/>
          <w:szCs w:val="21"/>
        </w:rPr>
        <w:t>合同价格、计量与支付</w:t>
      </w:r>
      <w:bookmarkEnd w:id="602"/>
    </w:p>
    <w:bookmarkEnd w:id="603"/>
    <w:bookmarkEnd w:id="604"/>
    <w:bookmarkEnd w:id="605"/>
    <w:bookmarkEnd w:id="606"/>
    <w:bookmarkEnd w:id="607"/>
    <w:bookmarkEnd w:id="608"/>
    <w:p>
      <w:pPr>
        <w:spacing w:line="360" w:lineRule="auto"/>
        <w:jc w:val="left"/>
        <w:rPr>
          <w:rFonts w:ascii="宋体" w:hAnsi="宋体" w:cs="宋体"/>
          <w:szCs w:val="21"/>
        </w:rPr>
      </w:pPr>
      <w:bookmarkStart w:id="609" w:name="_Toc267251461"/>
      <w:bookmarkStart w:id="610" w:name="_Toc292559916"/>
      <w:bookmarkStart w:id="611" w:name="_Toc292559411"/>
      <w:bookmarkStart w:id="612" w:name="_Toc296891034"/>
      <w:bookmarkStart w:id="613" w:name="_Toc296347205"/>
      <w:bookmarkStart w:id="614" w:name="_Toc296944545"/>
      <w:bookmarkStart w:id="615" w:name="_Toc297120506"/>
      <w:bookmarkStart w:id="616" w:name="_Toc296891246"/>
      <w:bookmarkStart w:id="617" w:name="_Toc296346707"/>
      <w:bookmarkStart w:id="618" w:name="_Toc297048392"/>
      <w:bookmarkStart w:id="619" w:name="_Toc296503206"/>
      <w:bookmarkStart w:id="620" w:name="_Toc300935003"/>
      <w:bookmarkStart w:id="621" w:name="_Toc297216212"/>
      <w:bookmarkStart w:id="622" w:name="_Toc312678041"/>
      <w:bookmarkStart w:id="623" w:name="_Toc297123553"/>
      <w:bookmarkStart w:id="624" w:name="_Toc304295580"/>
      <w:bookmarkStart w:id="625" w:name="_Toc303539160"/>
      <w:r>
        <w:rPr>
          <w:rFonts w:hint="eastAsia" w:ascii="宋体" w:hAnsi="宋体" w:cs="宋体"/>
          <w:szCs w:val="21"/>
        </w:rPr>
        <w:t>12.1 合</w:t>
      </w:r>
      <w:bookmarkEnd w:id="609"/>
      <w:bookmarkEnd w:id="610"/>
      <w:bookmarkEnd w:id="611"/>
      <w:r>
        <w:rPr>
          <w:rFonts w:hint="eastAsia" w:ascii="宋体" w:hAnsi="宋体" w:cs="宋体"/>
          <w:szCs w:val="21"/>
        </w:rPr>
        <w:t>同价</w:t>
      </w:r>
      <w:bookmarkEnd w:id="612"/>
      <w:bookmarkEnd w:id="613"/>
      <w:bookmarkEnd w:id="614"/>
      <w:bookmarkEnd w:id="615"/>
      <w:bookmarkEnd w:id="616"/>
      <w:bookmarkEnd w:id="617"/>
      <w:bookmarkEnd w:id="618"/>
      <w:bookmarkEnd w:id="619"/>
      <w:r>
        <w:rPr>
          <w:rFonts w:hint="eastAsia" w:ascii="宋体" w:hAnsi="宋体" w:cs="宋体"/>
          <w:szCs w:val="21"/>
        </w:rPr>
        <w:t>格形式</w:t>
      </w:r>
    </w:p>
    <w:bookmarkEnd w:id="620"/>
    <w:bookmarkEnd w:id="621"/>
    <w:bookmarkEnd w:id="622"/>
    <w:bookmarkEnd w:id="623"/>
    <w:bookmarkEnd w:id="624"/>
    <w:bookmarkEnd w:id="625"/>
    <w:p>
      <w:pPr>
        <w:spacing w:line="360" w:lineRule="auto"/>
        <w:ind w:firstLine="420" w:firstLineChars="200"/>
        <w:jc w:val="left"/>
        <w:rPr>
          <w:rFonts w:ascii="宋体" w:hAnsi="宋体" w:cs="宋体"/>
          <w:kern w:val="0"/>
          <w:szCs w:val="21"/>
        </w:rPr>
      </w:pPr>
      <w:bookmarkStart w:id="626" w:name="_Toc312678042"/>
      <w:bookmarkStart w:id="627" w:name="_Toc300935004"/>
      <w:bookmarkStart w:id="628" w:name="_Toc297123554"/>
      <w:bookmarkStart w:id="629" w:name="_Toc303539161"/>
      <w:bookmarkStart w:id="630" w:name="_Toc304295581"/>
      <w:bookmarkStart w:id="631" w:name="_Toc297216213"/>
      <w:bookmarkStart w:id="632" w:name="_Toc296503207"/>
      <w:bookmarkStart w:id="633" w:name="_Toc296891247"/>
      <w:bookmarkStart w:id="634" w:name="_Toc296346708"/>
      <w:bookmarkStart w:id="635" w:name="_Toc296347206"/>
      <w:bookmarkStart w:id="636" w:name="_Toc297048393"/>
      <w:bookmarkStart w:id="637" w:name="_Toc296944546"/>
      <w:bookmarkStart w:id="638" w:name="_Toc297120507"/>
      <w:bookmarkStart w:id="639" w:name="_Toc292559917"/>
      <w:bookmarkStart w:id="640" w:name="_Toc296891035"/>
      <w:bookmarkStart w:id="641" w:name="_Toc292559412"/>
      <w:r>
        <w:rPr>
          <w:rFonts w:hint="eastAsia" w:ascii="宋体" w:hAnsi="宋体" w:cs="宋体"/>
          <w:kern w:val="0"/>
          <w:szCs w:val="21"/>
        </w:rPr>
        <w:t>采用下浮方式</w:t>
      </w:r>
    </w:p>
    <w:p>
      <w:pPr>
        <w:spacing w:line="360" w:lineRule="auto"/>
        <w:jc w:val="left"/>
        <w:rPr>
          <w:rFonts w:ascii="宋体" w:hAnsi="宋体" w:cs="宋体"/>
          <w:szCs w:val="21"/>
        </w:rPr>
      </w:pPr>
      <w:r>
        <w:rPr>
          <w:rFonts w:hint="eastAsia" w:ascii="宋体" w:hAnsi="宋体" w:cs="宋体"/>
          <w:szCs w:val="21"/>
        </w:rPr>
        <w:t>12.2 预付款</w:t>
      </w:r>
    </w:p>
    <w:p>
      <w:pPr>
        <w:spacing w:line="360" w:lineRule="auto"/>
        <w:jc w:val="left"/>
        <w:rPr>
          <w:rFonts w:ascii="宋体" w:hAnsi="宋体" w:cs="宋体"/>
          <w:szCs w:val="21"/>
        </w:rPr>
      </w:pPr>
      <w:r>
        <w:rPr>
          <w:rFonts w:hint="eastAsia" w:ascii="宋体" w:hAnsi="宋体" w:cs="宋体"/>
          <w:szCs w:val="21"/>
        </w:rPr>
        <w:tab/>
      </w:r>
      <w:r>
        <w:rPr>
          <w:rFonts w:hint="eastAsia" w:ascii="宋体" w:hAnsi="宋体" w:cs="宋体"/>
          <w:szCs w:val="21"/>
        </w:rPr>
        <w:t>无预付款</w:t>
      </w:r>
    </w:p>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p>
      <w:pPr>
        <w:spacing w:line="360" w:lineRule="auto"/>
        <w:jc w:val="left"/>
        <w:rPr>
          <w:rFonts w:ascii="宋体" w:hAnsi="宋体" w:cs="宋体"/>
          <w:szCs w:val="21"/>
        </w:rPr>
      </w:pPr>
      <w:r>
        <w:rPr>
          <w:rFonts w:hint="eastAsia" w:ascii="宋体" w:hAnsi="宋体" w:cs="宋体"/>
          <w:szCs w:val="21"/>
        </w:rPr>
        <w:t>12.3 计量</w:t>
      </w:r>
    </w:p>
    <w:p>
      <w:pPr>
        <w:spacing w:line="360" w:lineRule="auto"/>
        <w:jc w:val="left"/>
        <w:rPr>
          <w:rFonts w:ascii="宋体" w:hAnsi="宋体" w:cs="宋体"/>
          <w:szCs w:val="21"/>
        </w:rPr>
      </w:pPr>
      <w:r>
        <w:rPr>
          <w:rFonts w:hint="eastAsia" w:ascii="宋体" w:hAnsi="宋体" w:cs="宋体"/>
          <w:szCs w:val="21"/>
        </w:rPr>
        <w:t>12.3.1 计量原则</w:t>
      </w:r>
    </w:p>
    <w:p>
      <w:pPr>
        <w:spacing w:line="360" w:lineRule="auto"/>
        <w:jc w:val="left"/>
        <w:rPr>
          <w:rFonts w:ascii="宋体" w:hAnsi="宋体"/>
          <w:szCs w:val="21"/>
          <w:u w:val="single"/>
        </w:rPr>
      </w:pPr>
      <w:r>
        <w:rPr>
          <w:rFonts w:hint="eastAsia" w:ascii="宋体" w:hAnsi="宋体"/>
          <w:szCs w:val="21"/>
          <w:u w:val="single"/>
        </w:rPr>
        <w:t xml:space="preserve">按合同约定 </w:t>
      </w:r>
    </w:p>
    <w:p>
      <w:pPr>
        <w:spacing w:line="360" w:lineRule="auto"/>
        <w:jc w:val="left"/>
        <w:rPr>
          <w:rFonts w:ascii="宋体" w:hAnsi="宋体" w:cs="宋体"/>
          <w:szCs w:val="21"/>
        </w:rPr>
      </w:pPr>
      <w:r>
        <w:rPr>
          <w:rFonts w:hint="eastAsia" w:ascii="宋体" w:hAnsi="宋体" w:cs="宋体"/>
          <w:szCs w:val="21"/>
        </w:rPr>
        <w:t>12.4 工程进度款支付</w:t>
      </w:r>
    </w:p>
    <w:p>
      <w:pPr>
        <w:spacing w:line="360" w:lineRule="auto"/>
        <w:ind w:firstLine="420" w:firstLineChars="200"/>
        <w:rPr>
          <w:rFonts w:ascii="宋体" w:hAnsi="宋体" w:cs="宋体"/>
          <w:szCs w:val="21"/>
        </w:rPr>
      </w:pPr>
      <w:r>
        <w:rPr>
          <w:rFonts w:hint="eastAsia" w:ascii="宋体" w:hAnsi="宋体" w:cs="宋体"/>
          <w:szCs w:val="21"/>
        </w:rPr>
        <w:t>12.4.1工程进度款付款方式：</w:t>
      </w:r>
    </w:p>
    <w:p>
      <w:pPr>
        <w:spacing w:line="360" w:lineRule="auto"/>
        <w:ind w:firstLine="420" w:firstLineChars="200"/>
        <w:rPr>
          <w:rFonts w:ascii="宋体"/>
          <w:szCs w:val="21"/>
        </w:rPr>
      </w:pPr>
      <w:r>
        <w:rPr>
          <w:rFonts w:ascii="宋体"/>
          <w:szCs w:val="21"/>
        </w:rPr>
        <w:t>（1）</w:t>
      </w:r>
      <w:r>
        <w:rPr>
          <w:rFonts w:hint="eastAsia" w:ascii="宋体"/>
          <w:szCs w:val="21"/>
        </w:rPr>
        <w:t>本工程无预付款</w:t>
      </w:r>
    </w:p>
    <w:p>
      <w:pPr>
        <w:spacing w:line="360" w:lineRule="auto"/>
        <w:ind w:firstLine="420" w:firstLineChars="200"/>
        <w:rPr>
          <w:rFonts w:ascii="宋体"/>
          <w:color w:val="FF0000"/>
          <w:szCs w:val="21"/>
          <w:highlight w:val="yellow"/>
        </w:rPr>
      </w:pPr>
      <w:r>
        <w:rPr>
          <w:rFonts w:hint="eastAsia" w:ascii="宋体"/>
          <w:szCs w:val="21"/>
        </w:rPr>
        <w:t>（2）本工程按每月工程进度完成量支付工程进度款；甲方按规定时间报送进度报表，经监理人审查签证，报业主审批后，按业</w:t>
      </w:r>
      <w:r>
        <w:rPr>
          <w:rFonts w:ascii="宋体"/>
          <w:szCs w:val="21"/>
        </w:rPr>
        <w:t>主和跟审单位审计的最终实际支付产值计算</w:t>
      </w:r>
      <w:r>
        <w:rPr>
          <w:rFonts w:hint="eastAsia" w:ascii="宋体"/>
          <w:szCs w:val="21"/>
        </w:rPr>
        <w:t>，在收到业主支付的响应工程款后按当月产值的70%作为进度款支付。</w:t>
      </w:r>
    </w:p>
    <w:p>
      <w:pPr>
        <w:spacing w:line="360" w:lineRule="auto"/>
        <w:ind w:firstLine="420" w:firstLineChars="200"/>
        <w:rPr>
          <w:rFonts w:ascii="宋体"/>
          <w:szCs w:val="21"/>
        </w:rPr>
      </w:pPr>
      <w:r>
        <w:rPr>
          <w:rFonts w:hint="eastAsia" w:ascii="宋体"/>
          <w:szCs w:val="21"/>
        </w:rPr>
        <w:t>（3）工程竣工验收合格后，业</w:t>
      </w:r>
      <w:r>
        <w:rPr>
          <w:rFonts w:ascii="宋体"/>
          <w:szCs w:val="21"/>
        </w:rPr>
        <w:t>主</w:t>
      </w:r>
      <w:r>
        <w:rPr>
          <w:rFonts w:hint="eastAsia" w:ascii="宋体"/>
          <w:szCs w:val="21"/>
        </w:rPr>
        <w:t>、监理、乙方签字的竣工图纸及其他竣工资料完善后20日内支付至已完工程量总额的75%；项目</w:t>
      </w:r>
      <w:r>
        <w:rPr>
          <w:rFonts w:ascii="宋体"/>
          <w:szCs w:val="21"/>
        </w:rPr>
        <w:t>竣工验收合</w:t>
      </w:r>
      <w:r>
        <w:rPr>
          <w:rFonts w:hint="eastAsia" w:ascii="宋体"/>
          <w:szCs w:val="21"/>
        </w:rPr>
        <w:t>格</w:t>
      </w:r>
      <w:r>
        <w:rPr>
          <w:rFonts w:ascii="宋体"/>
          <w:szCs w:val="21"/>
        </w:rPr>
        <w:t>且</w:t>
      </w:r>
      <w:r>
        <w:rPr>
          <w:rFonts w:hint="eastAsia" w:ascii="宋体"/>
          <w:szCs w:val="21"/>
        </w:rPr>
        <w:t>甲方办</w:t>
      </w:r>
      <w:r>
        <w:rPr>
          <w:rFonts w:ascii="宋体"/>
          <w:szCs w:val="21"/>
        </w:rPr>
        <w:t>理完成</w:t>
      </w:r>
      <w:r>
        <w:rPr>
          <w:rFonts w:hint="eastAsia" w:ascii="宋体"/>
          <w:szCs w:val="21"/>
        </w:rPr>
        <w:t>结算资料，甲方</w:t>
      </w:r>
      <w:r>
        <w:rPr>
          <w:rFonts w:ascii="宋体"/>
          <w:szCs w:val="21"/>
        </w:rPr>
        <w:t>在收到</w:t>
      </w:r>
      <w:r>
        <w:rPr>
          <w:rFonts w:hint="eastAsia" w:ascii="宋体"/>
          <w:szCs w:val="21"/>
        </w:rPr>
        <w:t>“经业</w:t>
      </w:r>
      <w:r>
        <w:rPr>
          <w:rFonts w:ascii="宋体"/>
          <w:szCs w:val="21"/>
        </w:rPr>
        <w:t>主</w:t>
      </w:r>
      <w:r>
        <w:rPr>
          <w:rFonts w:hint="eastAsia" w:ascii="宋体"/>
          <w:szCs w:val="21"/>
        </w:rPr>
        <w:t>内审后（20日内）支付至内审金额的80%”的</w:t>
      </w:r>
      <w:r>
        <w:rPr>
          <w:rFonts w:ascii="宋体"/>
          <w:szCs w:val="21"/>
        </w:rPr>
        <w:t>工程款后，</w:t>
      </w:r>
      <w:r>
        <w:rPr>
          <w:rFonts w:hint="eastAsia" w:ascii="宋体"/>
          <w:szCs w:val="21"/>
        </w:rPr>
        <w:t>乙方</w:t>
      </w:r>
      <w:r>
        <w:rPr>
          <w:rFonts w:ascii="宋体"/>
          <w:szCs w:val="21"/>
        </w:rPr>
        <w:t>在甲方处办理完相关手续和资料后</w:t>
      </w:r>
      <w:r>
        <w:rPr>
          <w:rFonts w:hint="eastAsia" w:ascii="宋体"/>
          <w:szCs w:val="21"/>
        </w:rPr>
        <w:t>20日</w:t>
      </w:r>
      <w:r>
        <w:rPr>
          <w:rFonts w:ascii="宋体"/>
          <w:szCs w:val="21"/>
        </w:rPr>
        <w:t>内支付相</w:t>
      </w:r>
      <w:r>
        <w:rPr>
          <w:rFonts w:hint="eastAsia" w:ascii="宋体"/>
          <w:szCs w:val="21"/>
        </w:rPr>
        <w:t>应</w:t>
      </w:r>
      <w:r>
        <w:rPr>
          <w:rFonts w:ascii="宋体"/>
          <w:szCs w:val="21"/>
        </w:rPr>
        <w:t>部分</w:t>
      </w:r>
      <w:r>
        <w:rPr>
          <w:rFonts w:hint="eastAsia" w:ascii="宋体"/>
          <w:szCs w:val="21"/>
        </w:rPr>
        <w:t>相应</w:t>
      </w:r>
      <w:r>
        <w:rPr>
          <w:rFonts w:ascii="宋体"/>
          <w:szCs w:val="21"/>
        </w:rPr>
        <w:t>比例的工程</w:t>
      </w:r>
      <w:r>
        <w:rPr>
          <w:rFonts w:hint="eastAsia" w:ascii="宋体"/>
          <w:szCs w:val="21"/>
        </w:rPr>
        <w:t>给</w:t>
      </w:r>
      <w:r>
        <w:rPr>
          <w:rFonts w:ascii="宋体"/>
          <w:szCs w:val="21"/>
        </w:rPr>
        <w:t>乙方。</w:t>
      </w:r>
    </w:p>
    <w:p>
      <w:pPr>
        <w:spacing w:line="360" w:lineRule="auto"/>
        <w:ind w:firstLine="420" w:firstLineChars="200"/>
        <w:rPr>
          <w:rFonts w:ascii="宋体"/>
          <w:szCs w:val="21"/>
        </w:rPr>
      </w:pPr>
      <w:r>
        <w:rPr>
          <w:rFonts w:hint="eastAsia" w:ascii="宋体"/>
          <w:szCs w:val="21"/>
        </w:rPr>
        <w:t>（4）甲方</w:t>
      </w:r>
      <w:r>
        <w:rPr>
          <w:rFonts w:ascii="宋体"/>
          <w:szCs w:val="21"/>
        </w:rPr>
        <w:t>在收到</w:t>
      </w:r>
      <w:r>
        <w:rPr>
          <w:rFonts w:hint="eastAsia" w:ascii="宋体"/>
          <w:szCs w:val="21"/>
        </w:rPr>
        <w:t>“经业</w:t>
      </w:r>
      <w:r>
        <w:rPr>
          <w:rFonts w:ascii="宋体"/>
          <w:szCs w:val="21"/>
        </w:rPr>
        <w:t>主</w:t>
      </w:r>
      <w:r>
        <w:rPr>
          <w:rFonts w:hint="eastAsia" w:ascii="宋体"/>
          <w:szCs w:val="21"/>
        </w:rPr>
        <w:t>审计单位审计完成后30日内支付至结算金额的97%”款</w:t>
      </w:r>
      <w:r>
        <w:rPr>
          <w:rFonts w:ascii="宋体"/>
          <w:szCs w:val="21"/>
        </w:rPr>
        <w:t>项后，乙方</w:t>
      </w:r>
      <w:r>
        <w:rPr>
          <w:rFonts w:hint="eastAsia" w:ascii="宋体"/>
          <w:szCs w:val="21"/>
        </w:rPr>
        <w:t>按</w:t>
      </w:r>
      <w:r>
        <w:rPr>
          <w:rFonts w:ascii="宋体"/>
          <w:szCs w:val="21"/>
        </w:rPr>
        <w:t>甲方要求办理完成相关资料手续后，</w:t>
      </w:r>
      <w:r>
        <w:rPr>
          <w:rFonts w:hint="eastAsia" w:ascii="宋体"/>
          <w:szCs w:val="21"/>
        </w:rPr>
        <w:t>留足乙方</w:t>
      </w:r>
      <w:r>
        <w:rPr>
          <w:rFonts w:ascii="宋体"/>
          <w:szCs w:val="21"/>
        </w:rPr>
        <w:t>工</w:t>
      </w:r>
      <w:r>
        <w:rPr>
          <w:rFonts w:hint="eastAsia" w:ascii="宋体"/>
          <w:szCs w:val="21"/>
        </w:rPr>
        <w:t>作</w:t>
      </w:r>
      <w:r>
        <w:rPr>
          <w:rFonts w:ascii="宋体"/>
          <w:szCs w:val="21"/>
        </w:rPr>
        <w:t>内容的相应部分质保金后支付相应工程款</w:t>
      </w:r>
      <w:r>
        <w:rPr>
          <w:rFonts w:hint="eastAsia" w:ascii="宋体"/>
          <w:szCs w:val="21"/>
        </w:rPr>
        <w:t>；</w:t>
      </w:r>
    </w:p>
    <w:p>
      <w:pPr>
        <w:spacing w:line="460" w:lineRule="exact"/>
        <w:ind w:firstLine="420" w:firstLineChars="200"/>
        <w:rPr>
          <w:rFonts w:ascii="宋体" w:hAnsi="宋体"/>
          <w:szCs w:val="21"/>
        </w:rPr>
      </w:pPr>
      <w:r>
        <w:rPr>
          <w:rFonts w:hint="eastAsia" w:ascii="宋体" w:hAnsi="宋体"/>
          <w:szCs w:val="21"/>
        </w:rPr>
        <w:t>（</w:t>
      </w:r>
      <w:r>
        <w:rPr>
          <w:rFonts w:ascii="宋体" w:hAnsi="宋体"/>
          <w:szCs w:val="21"/>
        </w:rPr>
        <w:t>5</w:t>
      </w:r>
      <w:r>
        <w:rPr>
          <w:rFonts w:hint="eastAsia" w:ascii="宋体" w:hAnsi="宋体"/>
          <w:szCs w:val="21"/>
        </w:rPr>
        <w:t>）余下的</w:t>
      </w:r>
      <w:r>
        <w:rPr>
          <w:rFonts w:ascii="宋体" w:hAnsi="宋体"/>
          <w:szCs w:val="21"/>
        </w:rPr>
        <w:t>质保金</w:t>
      </w:r>
      <w:r>
        <w:rPr>
          <w:rFonts w:hint="eastAsia" w:ascii="宋体" w:hAnsi="宋体"/>
          <w:szCs w:val="21"/>
        </w:rPr>
        <w:t>为本工程缺陷责任期的保修金，缺陷责任期满</w:t>
      </w:r>
      <w:r>
        <w:rPr>
          <w:rFonts w:ascii="宋体" w:hAnsi="宋体"/>
          <w:szCs w:val="21"/>
        </w:rPr>
        <w:t>2</w:t>
      </w:r>
      <w:r>
        <w:rPr>
          <w:rFonts w:hint="eastAsia" w:ascii="宋体" w:hAnsi="宋体"/>
          <w:szCs w:val="21"/>
        </w:rPr>
        <w:t>年后无质量问题（</w:t>
      </w:r>
      <w:r>
        <w:rPr>
          <w:rFonts w:ascii="宋体" w:hAnsi="宋体"/>
          <w:szCs w:val="21"/>
        </w:rPr>
        <w:t>20</w:t>
      </w:r>
      <w:r>
        <w:rPr>
          <w:rFonts w:hint="eastAsia" w:ascii="宋体" w:hAnsi="宋体"/>
          <w:szCs w:val="21"/>
        </w:rPr>
        <w:t>日内）无息返还保修金；</w:t>
      </w:r>
    </w:p>
    <w:p>
      <w:pPr>
        <w:spacing w:line="460" w:lineRule="exact"/>
        <w:ind w:firstLine="420" w:firstLineChars="200"/>
        <w:rPr>
          <w:rFonts w:ascii="宋体" w:hAnsi="宋体"/>
          <w:szCs w:val="21"/>
        </w:rPr>
      </w:pPr>
      <w:r>
        <w:rPr>
          <w:rFonts w:hint="eastAsia" w:ascii="宋体" w:hAnsi="宋体"/>
          <w:szCs w:val="21"/>
        </w:rPr>
        <w:t>（</w:t>
      </w:r>
      <w:r>
        <w:rPr>
          <w:rFonts w:ascii="宋体" w:hAnsi="宋体"/>
          <w:szCs w:val="21"/>
        </w:rPr>
        <w:t>6</w:t>
      </w:r>
      <w:r>
        <w:rPr>
          <w:rFonts w:hint="eastAsia" w:ascii="宋体" w:hAnsi="宋体"/>
          <w:szCs w:val="21"/>
        </w:rPr>
        <w:t>）所有付款均需乙方出具相应增值税发票后进行支付。</w:t>
      </w:r>
    </w:p>
    <w:p>
      <w:pPr>
        <w:spacing w:line="460" w:lineRule="exact"/>
        <w:ind w:firstLine="420" w:firstLineChars="200"/>
        <w:rPr>
          <w:rFonts w:ascii="宋体" w:hAnsi="宋体"/>
          <w:szCs w:val="21"/>
        </w:rPr>
      </w:pPr>
      <w:r>
        <w:rPr>
          <w:rFonts w:hint="eastAsia" w:ascii="宋体" w:hAnsi="宋体"/>
          <w:szCs w:val="21"/>
        </w:rPr>
        <w:t>（7）乙方</w:t>
      </w:r>
      <w:r>
        <w:rPr>
          <w:rFonts w:ascii="宋体" w:hAnsi="宋体"/>
          <w:szCs w:val="21"/>
        </w:rPr>
        <w:t>工作</w:t>
      </w:r>
      <w:r>
        <w:rPr>
          <w:rFonts w:hint="eastAsia" w:ascii="宋体" w:hAnsi="宋体"/>
          <w:szCs w:val="21"/>
        </w:rPr>
        <w:t>范围</w:t>
      </w:r>
      <w:r>
        <w:rPr>
          <w:rFonts w:ascii="宋体" w:hAnsi="宋体"/>
          <w:szCs w:val="21"/>
        </w:rPr>
        <w:t>内的所有相关费用（</w:t>
      </w:r>
      <w:r>
        <w:rPr>
          <w:rFonts w:hint="eastAsia" w:ascii="宋体" w:hAnsi="宋体"/>
          <w:szCs w:val="21"/>
        </w:rPr>
        <w:t>包含</w:t>
      </w:r>
      <w:r>
        <w:rPr>
          <w:rFonts w:ascii="宋体" w:hAnsi="宋体"/>
          <w:szCs w:val="21"/>
        </w:rPr>
        <w:t>专家费、资料费、相应的</w:t>
      </w:r>
      <w:r>
        <w:rPr>
          <w:rFonts w:hint="eastAsia" w:ascii="宋体" w:hAnsi="宋体"/>
          <w:szCs w:val="21"/>
        </w:rPr>
        <w:t>其它</w:t>
      </w:r>
      <w:r>
        <w:rPr>
          <w:rFonts w:ascii="宋体" w:hAnsi="宋体"/>
          <w:szCs w:val="21"/>
        </w:rPr>
        <w:t>费用均由乙方承担）</w:t>
      </w:r>
      <w:r>
        <w:rPr>
          <w:rFonts w:hint="eastAsia" w:ascii="宋体" w:hAnsi="宋体"/>
          <w:szCs w:val="21"/>
        </w:rPr>
        <w:t>。</w:t>
      </w:r>
    </w:p>
    <w:p>
      <w:pPr>
        <w:spacing w:line="460" w:lineRule="exact"/>
        <w:ind w:firstLine="420" w:firstLineChars="200"/>
        <w:rPr>
          <w:rFonts w:ascii="宋体" w:hAnsi="宋体"/>
          <w:szCs w:val="21"/>
        </w:rPr>
      </w:pPr>
      <w:r>
        <w:rPr>
          <w:rFonts w:hint="eastAsia" w:ascii="宋体" w:hAnsi="宋体"/>
          <w:szCs w:val="21"/>
        </w:rPr>
        <w:t>注：为了减少由于拖欠农民工工资引起的上访、停窝工现象，在每月施工单位进度款，农民工工资的支付按九龙坡人社发〔</w:t>
      </w:r>
      <w:r>
        <w:rPr>
          <w:rFonts w:ascii="宋体" w:hAnsi="宋体"/>
          <w:szCs w:val="21"/>
        </w:rPr>
        <w:t>2016</w:t>
      </w:r>
      <w:r>
        <w:rPr>
          <w:rFonts w:hint="eastAsia" w:ascii="宋体" w:hAnsi="宋体"/>
          <w:szCs w:val="21"/>
        </w:rPr>
        <w:t>〕</w:t>
      </w:r>
      <w:r>
        <w:rPr>
          <w:rFonts w:ascii="宋体" w:hAnsi="宋体"/>
          <w:szCs w:val="21"/>
        </w:rPr>
        <w:t>245</w:t>
      </w:r>
      <w:r>
        <w:rPr>
          <w:rFonts w:hint="eastAsia" w:ascii="宋体" w:hAnsi="宋体"/>
          <w:szCs w:val="21"/>
        </w:rPr>
        <w:t>号执行。根据渝建发（2017）13号文的</w:t>
      </w:r>
      <w:r>
        <w:rPr>
          <w:rFonts w:ascii="宋体" w:hAnsi="宋体"/>
          <w:szCs w:val="21"/>
        </w:rPr>
        <w:t>相关规定，乙方每月经甲方审批后的所有款项，根据民工人</w:t>
      </w:r>
      <w:r>
        <w:rPr>
          <w:rFonts w:hint="eastAsia" w:ascii="宋体" w:hAnsi="宋体"/>
          <w:szCs w:val="21"/>
        </w:rPr>
        <w:t>数</w:t>
      </w:r>
      <w:r>
        <w:rPr>
          <w:rFonts w:ascii="宋体" w:hAnsi="宋体"/>
          <w:szCs w:val="21"/>
        </w:rPr>
        <w:t>情况</w:t>
      </w:r>
      <w:r>
        <w:rPr>
          <w:rFonts w:hint="eastAsia" w:ascii="宋体" w:hAnsi="宋体"/>
          <w:szCs w:val="21"/>
        </w:rPr>
        <w:t>，由</w:t>
      </w:r>
      <w:r>
        <w:rPr>
          <w:rFonts w:ascii="宋体" w:hAnsi="宋体"/>
          <w:szCs w:val="21"/>
        </w:rPr>
        <w:t>乙方真实的造农工工资表，甲方通过</w:t>
      </w:r>
      <w:r>
        <w:rPr>
          <w:rFonts w:hint="eastAsia" w:ascii="宋体" w:hAnsi="宋体"/>
          <w:szCs w:val="21"/>
        </w:rPr>
        <w:t>专</w:t>
      </w:r>
      <w:r>
        <w:rPr>
          <w:rFonts w:ascii="宋体" w:hAnsi="宋体"/>
          <w:szCs w:val="21"/>
        </w:rPr>
        <w:t>户支付至民工工资卡中</w:t>
      </w:r>
      <w:r>
        <w:rPr>
          <w:rFonts w:hint="eastAsia" w:ascii="宋体" w:hAnsi="宋体"/>
          <w:szCs w:val="21"/>
        </w:rPr>
        <w:t>。</w:t>
      </w:r>
    </w:p>
    <w:p>
      <w:pPr>
        <w:spacing w:line="360" w:lineRule="auto"/>
        <w:contextualSpacing/>
        <w:rPr>
          <w:rFonts w:ascii="宋体" w:hAnsi="宋体" w:cs="宋体"/>
          <w:szCs w:val="21"/>
        </w:rPr>
      </w:pPr>
      <w:r>
        <w:rPr>
          <w:rFonts w:hint="eastAsia" w:ascii="宋体" w:hAnsi="宋体" w:cs="宋体"/>
          <w:szCs w:val="21"/>
        </w:rPr>
        <w:t xml:space="preserve">2、 </w:t>
      </w:r>
      <w:r>
        <w:rPr>
          <w:rFonts w:hint="eastAsia" w:ascii="宋体" w:hAnsi="宋体"/>
          <w:szCs w:val="21"/>
        </w:rPr>
        <w:t>甲方支付工程款时乙方需开具甲方要求金额的增值税专用发票（税率：</w:t>
      </w:r>
      <w:r>
        <w:rPr>
          <w:rFonts w:hint="eastAsia" w:ascii="宋体" w:hAnsi="宋体"/>
          <w:szCs w:val="21"/>
          <w:u w:val="single"/>
        </w:rPr>
        <w:t>10</w:t>
      </w:r>
      <w:r>
        <w:rPr>
          <w:rFonts w:hint="eastAsia" w:ascii="宋体" w:hAnsi="宋体"/>
          <w:szCs w:val="21"/>
        </w:rPr>
        <w:t>%），</w:t>
      </w:r>
      <w:r>
        <w:rPr>
          <w:rFonts w:hint="eastAsia" w:ascii="宋体" w:hAnsi="宋体" w:cs="宋体"/>
          <w:szCs w:val="21"/>
        </w:rPr>
        <w:t>甲方根据乙方开具的合法有效的正式发票（发票格式等需符合甲方及当地税务局要求）履行以上各阶段的付款义务，且乙方应在甲方付款日的</w:t>
      </w:r>
      <w:r>
        <w:rPr>
          <w:rFonts w:hint="eastAsia" w:ascii="宋体" w:hAnsi="宋体" w:cs="宋体"/>
          <w:szCs w:val="21"/>
          <w:u w:val="single"/>
        </w:rPr>
        <w:t>20</w:t>
      </w:r>
      <w:r>
        <w:rPr>
          <w:rFonts w:hint="eastAsia" w:ascii="宋体" w:hAnsi="宋体" w:cs="宋体"/>
          <w:szCs w:val="21"/>
        </w:rPr>
        <w:t>天前提供该等发票给甲方。乙方迟延开具发票、无法开具发票或开具的发票金额低于约定金额的，甲方有权迟延付款、暂不付款或按低于约定金额的发票金额来付款，并对此不承担任何责任。</w:t>
      </w:r>
    </w:p>
    <w:p>
      <w:pPr>
        <w:spacing w:line="360" w:lineRule="auto"/>
        <w:contextualSpacing/>
        <w:rPr>
          <w:rFonts w:ascii="宋体" w:hAnsi="宋体"/>
          <w:szCs w:val="21"/>
        </w:rPr>
      </w:pPr>
      <w:r>
        <w:rPr>
          <w:rFonts w:hint="eastAsia" w:ascii="宋体" w:hAnsi="宋体"/>
          <w:szCs w:val="21"/>
        </w:rPr>
        <w:t>3、 为保证乙方不拖欠民工工资，乙方申请当期劳务进度款时，必须提供上期民工签字认可的工资发放名册。甲方可随时对乙方提供资料的真实性进行抽查。如乙方未按期支付民工工资，甲方有权直接扣除乙方的工程款用于支付民工工资，乙方不得提出异议，并且乙方需按甲方已支付款项的1%向甲方支付违约金，并赔偿甲方相关损失。</w:t>
      </w:r>
    </w:p>
    <w:p>
      <w:pPr>
        <w:spacing w:line="360" w:lineRule="auto"/>
        <w:contextualSpacing/>
        <w:rPr>
          <w:rFonts w:ascii="宋体" w:hAnsi="宋体"/>
          <w:szCs w:val="21"/>
        </w:rPr>
      </w:pPr>
      <w:r>
        <w:rPr>
          <w:rFonts w:hint="eastAsia" w:ascii="宋体" w:hAnsi="宋体"/>
          <w:szCs w:val="21"/>
        </w:rPr>
        <w:t>4、 乙方已充分理解业主支付甲方工程款条件，并同意甲方根据业主付款情况支付乙方工程款。乙方同意甲方收到业主支付的工程款后同比例支付乙方相应部分工程款，乙方放弃因未收到工程款向甲方追偿及索赔权利。</w:t>
      </w:r>
    </w:p>
    <w:p>
      <w:pPr>
        <w:spacing w:line="360" w:lineRule="auto"/>
        <w:contextualSpacing/>
        <w:rPr>
          <w:rFonts w:ascii="宋体" w:hAnsi="宋体" w:cs="宋体"/>
          <w:szCs w:val="21"/>
        </w:rPr>
      </w:pPr>
      <w:r>
        <w:rPr>
          <w:rFonts w:hint="eastAsia" w:ascii="宋体" w:hAnsi="宋体"/>
          <w:szCs w:val="21"/>
        </w:rPr>
        <w:t>5、 如甲方未收到业主支付的工程款，乙方不以此作为怠工和延误工期的索赔理由。</w:t>
      </w:r>
    </w:p>
    <w:p>
      <w:pPr>
        <w:spacing w:line="360" w:lineRule="auto"/>
        <w:ind w:firstLine="420" w:firstLineChars="200"/>
        <w:rPr>
          <w:rFonts w:ascii="宋体" w:hAnsi="宋体" w:cs="宋体"/>
          <w:szCs w:val="21"/>
        </w:rPr>
      </w:pPr>
      <w:r>
        <w:rPr>
          <w:rFonts w:hint="eastAsia" w:ascii="宋体" w:hAnsi="宋体" w:cs="宋体"/>
          <w:szCs w:val="21"/>
        </w:rPr>
        <w:t>12.4.2承包人银行基本账户信息：</w:t>
      </w:r>
    </w:p>
    <w:p>
      <w:pPr>
        <w:adjustRightInd w:val="0"/>
        <w:snapToGrid w:val="0"/>
        <w:spacing w:line="360" w:lineRule="auto"/>
        <w:ind w:firstLine="1050" w:firstLineChars="500"/>
        <w:rPr>
          <w:rFonts w:ascii="宋体" w:hAnsi="宋体" w:cs="宋体"/>
          <w:szCs w:val="21"/>
        </w:rPr>
      </w:pPr>
      <w:r>
        <w:rPr>
          <w:rFonts w:hint="eastAsia" w:ascii="宋体" w:hAnsi="宋体" w:cs="宋体"/>
          <w:szCs w:val="21"/>
        </w:rPr>
        <w:t xml:space="preserve">开户行: </w:t>
      </w:r>
    </w:p>
    <w:p>
      <w:pPr>
        <w:adjustRightInd w:val="0"/>
        <w:snapToGrid w:val="0"/>
        <w:spacing w:line="360" w:lineRule="auto"/>
        <w:ind w:firstLine="1050" w:firstLineChars="500"/>
        <w:rPr>
          <w:rFonts w:ascii="宋体" w:hAnsi="宋体" w:cs="宋体"/>
          <w:szCs w:val="21"/>
        </w:rPr>
      </w:pPr>
      <w:r>
        <w:rPr>
          <w:rFonts w:hint="eastAsia" w:ascii="宋体" w:hAnsi="宋体" w:cs="宋体"/>
          <w:szCs w:val="21"/>
        </w:rPr>
        <w:t>开户名称：</w:t>
      </w:r>
    </w:p>
    <w:p>
      <w:pPr>
        <w:adjustRightInd w:val="0"/>
        <w:snapToGrid w:val="0"/>
        <w:spacing w:line="360" w:lineRule="auto"/>
        <w:ind w:firstLine="1050" w:firstLineChars="500"/>
        <w:rPr>
          <w:rFonts w:ascii="宋体" w:hAnsi="宋体" w:cs="宋体"/>
          <w:szCs w:val="21"/>
        </w:rPr>
      </w:pPr>
      <w:r>
        <w:rPr>
          <w:rFonts w:hint="eastAsia" w:ascii="宋体" w:hAnsi="宋体" w:cs="宋体"/>
          <w:szCs w:val="21"/>
        </w:rPr>
        <w:t>账号：</w:t>
      </w:r>
    </w:p>
    <w:p>
      <w:pPr>
        <w:adjustRightInd w:val="0"/>
        <w:snapToGrid w:val="0"/>
        <w:spacing w:line="360" w:lineRule="auto"/>
        <w:ind w:firstLine="1050" w:firstLineChars="500"/>
        <w:rPr>
          <w:rFonts w:ascii="宋体" w:hAnsi="宋体" w:cs="宋体"/>
          <w:szCs w:val="21"/>
        </w:rPr>
      </w:pPr>
      <w:r>
        <w:rPr>
          <w:rFonts w:hint="eastAsia" w:ascii="宋体" w:hAnsi="宋体" w:cs="宋体"/>
          <w:szCs w:val="21"/>
        </w:rPr>
        <w:t>承包人账户信息在合同执行期间不得发生变更，若因承包人账户信息发生变更导致的发包人不能完成支付，所有责任由承包人承担。</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12.4.7 发包人支付工程款时承包人需开具发包人要求金额的增值税专用发票，</w:t>
      </w:r>
      <w:r>
        <w:rPr>
          <w:rFonts w:hint="eastAsia" w:ascii="宋体" w:hAnsi="宋体" w:cs="宋体"/>
          <w:szCs w:val="21"/>
          <w:highlight w:val="yellow"/>
        </w:rPr>
        <w:t>（税率为：</w:t>
      </w:r>
      <w:r>
        <w:rPr>
          <w:rFonts w:hint="eastAsia" w:ascii="宋体" w:hAnsi="宋体" w:cs="宋体"/>
          <w:b/>
          <w:bCs/>
          <w:kern w:val="0"/>
          <w:szCs w:val="21"/>
        </w:rPr>
        <w:t>（加工制作部分的增值税税率为：16%；安装部分增值税税率为：10%）</w:t>
      </w:r>
      <w:r>
        <w:rPr>
          <w:rFonts w:hint="eastAsia" w:ascii="宋体" w:hAnsi="宋体" w:cs="宋体"/>
          <w:szCs w:val="21"/>
        </w:rPr>
        <w:t>，发包人根据承包人开具的合法有效的工程所在地正式发票（发票格式等需符合发包人及当地税务局要求）履行以上各阶段的付款义务，且承包人应在发包人付款日的</w:t>
      </w:r>
      <w:r>
        <w:rPr>
          <w:rFonts w:hint="eastAsia" w:ascii="宋体" w:hAnsi="宋体" w:cs="宋体"/>
          <w:szCs w:val="21"/>
          <w:u w:val="single"/>
        </w:rPr>
        <w:t>20</w:t>
      </w:r>
      <w:r>
        <w:rPr>
          <w:rFonts w:hint="eastAsia" w:ascii="宋体" w:hAnsi="宋体" w:cs="宋体"/>
          <w:szCs w:val="21"/>
        </w:rPr>
        <w:t>天前提供该等发票给发包人。承包人迟延开具发票、无法开具发票或开具的发票金额低于约定金额的，发包人有权迟延付款、暂不付款或按低于约定金额的发票金额来付款，并对此不承担任何责任。以上合同价是以承包人向发包人开具增值税专用发票税率为</w:t>
      </w:r>
      <w:r>
        <w:rPr>
          <w:rFonts w:hint="eastAsia" w:ascii="宋体" w:hAnsi="宋体" w:cs="宋体"/>
          <w:b/>
          <w:bCs/>
          <w:kern w:val="0"/>
          <w:szCs w:val="21"/>
        </w:rPr>
        <w:t>（加工制作部分的增值税税率为：16%；安装部分增值税税率为：10%）</w:t>
      </w:r>
      <w:r>
        <w:rPr>
          <w:rFonts w:hint="eastAsia" w:ascii="宋体" w:hAnsi="宋体" w:cs="宋体"/>
          <w:szCs w:val="21"/>
        </w:rPr>
        <w:t>为准，若承包人开具的增值税专用发票税率低于</w:t>
      </w:r>
      <w:r>
        <w:rPr>
          <w:rFonts w:hint="eastAsia" w:ascii="宋体" w:hAnsi="宋体" w:cs="宋体"/>
          <w:b/>
          <w:bCs/>
          <w:kern w:val="0"/>
          <w:szCs w:val="21"/>
        </w:rPr>
        <w:t>（加工制作部分的增值税税率为：16%；安装部分增值税税率为：10%）</w:t>
      </w:r>
      <w:r>
        <w:rPr>
          <w:rFonts w:hint="eastAsia" w:ascii="宋体" w:hAnsi="宋体" w:cs="宋体"/>
          <w:sz w:val="24"/>
        </w:rPr>
        <w:t>，发包人可根据实际发票税率进行调价。</w:t>
      </w:r>
    </w:p>
    <w:p>
      <w:pPr>
        <w:spacing w:line="360" w:lineRule="auto"/>
        <w:ind w:firstLine="420" w:firstLineChars="200"/>
        <w:rPr>
          <w:rFonts w:ascii="宋体" w:hAnsi="宋体" w:cs="宋体"/>
          <w:szCs w:val="21"/>
        </w:rPr>
      </w:pPr>
      <w:r>
        <w:rPr>
          <w:rFonts w:hint="eastAsia" w:ascii="宋体" w:hAnsi="宋体" w:cs="宋体"/>
          <w:szCs w:val="21"/>
        </w:rPr>
        <w:t>12.4.8为保证承包人不拖欠民工工资，承包人申请当期劳务进度款时，必须提供上期民工签字认可的工资发放名册。发包人可随时对承包人提供资料的真实性进行抽查。如承包人未按期支付民工工资，发包人有权直接扣除承包人的工程款用于支付民工工资，承包人不得提出异议，并且承包人需按发包人已支付款项的1%向发包人支付违约金，并赔偿发包人相关损失。</w:t>
      </w:r>
    </w:p>
    <w:p>
      <w:pPr>
        <w:spacing w:line="360" w:lineRule="auto"/>
        <w:ind w:firstLine="420" w:firstLineChars="200"/>
        <w:rPr>
          <w:rFonts w:ascii="宋体" w:hAnsi="宋体" w:cs="宋体"/>
          <w:szCs w:val="21"/>
        </w:rPr>
      </w:pPr>
      <w:r>
        <w:rPr>
          <w:rFonts w:hint="eastAsia" w:ascii="宋体" w:hAnsi="宋体" w:cs="宋体"/>
          <w:szCs w:val="21"/>
        </w:rPr>
        <w:t>12.4.9 承包人已充分理解业主支付发包人工程款条件，并同意发包人根据业主付款情况支付承包人工程款。承包人同意发包人收到业主支付的工程款后同比例支付承包人相应部分工程款。</w:t>
      </w:r>
    </w:p>
    <w:p>
      <w:pPr>
        <w:spacing w:line="400" w:lineRule="exact"/>
        <w:ind w:firstLine="420" w:firstLineChars="200"/>
        <w:rPr>
          <w:rFonts w:ascii="宋体" w:hAnsi="宋体" w:cs="宋体"/>
          <w:szCs w:val="21"/>
        </w:rPr>
      </w:pPr>
      <w:r>
        <w:rPr>
          <w:rFonts w:hint="eastAsia" w:ascii="宋体" w:hAnsi="宋体" w:cs="宋体"/>
          <w:szCs w:val="21"/>
        </w:rPr>
        <w:t>12.4.10  如发包人未收到业主支付的工程款，承包人不以此作为怠工和延误工期的索赔理由。</w:t>
      </w:r>
    </w:p>
    <w:bookmarkEnd w:id="508"/>
    <w:p>
      <w:pPr>
        <w:spacing w:line="360" w:lineRule="auto"/>
        <w:jc w:val="left"/>
        <w:rPr>
          <w:rFonts w:ascii="宋体" w:hAnsi="宋体" w:cs="宋体"/>
          <w:b/>
          <w:szCs w:val="21"/>
        </w:rPr>
      </w:pPr>
      <w:bookmarkStart w:id="642" w:name="_Toc351203645"/>
      <w:bookmarkStart w:id="643" w:name="_Toc296503219"/>
      <w:bookmarkStart w:id="644" w:name="_Toc297216223"/>
      <w:bookmarkStart w:id="645" w:name="_Toc296891259"/>
      <w:bookmarkStart w:id="646" w:name="_Toc296347218"/>
      <w:bookmarkStart w:id="647" w:name="_Toc292559929"/>
      <w:bookmarkStart w:id="648" w:name="_Toc297120519"/>
      <w:bookmarkStart w:id="649" w:name="_Toc304295593"/>
      <w:bookmarkStart w:id="650" w:name="_Toc296891047"/>
      <w:bookmarkStart w:id="651" w:name="_Toc297123564"/>
      <w:bookmarkStart w:id="652" w:name="_Toc297048405"/>
      <w:bookmarkStart w:id="653" w:name="_Toc303539172"/>
      <w:bookmarkStart w:id="654" w:name="_Toc300935015"/>
      <w:bookmarkStart w:id="655" w:name="_Toc296944558"/>
      <w:bookmarkStart w:id="656" w:name="_Toc312678053"/>
      <w:bookmarkStart w:id="657" w:name="_Toc296346720"/>
      <w:bookmarkStart w:id="658" w:name="_Toc292559424"/>
      <w:r>
        <w:rPr>
          <w:rFonts w:hint="eastAsia" w:ascii="宋体" w:hAnsi="宋体" w:cs="宋体"/>
          <w:szCs w:val="21"/>
        </w:rPr>
        <w:t>13. 验收和工程试车</w:t>
      </w:r>
      <w:bookmarkEnd w:id="642"/>
    </w:p>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p>
      <w:pPr>
        <w:spacing w:line="360" w:lineRule="auto"/>
        <w:jc w:val="left"/>
        <w:rPr>
          <w:rFonts w:ascii="宋体" w:hAnsi="宋体" w:cs="宋体"/>
          <w:szCs w:val="21"/>
        </w:rPr>
      </w:pPr>
      <w:bookmarkStart w:id="659" w:name="_Toc312678056"/>
      <w:bookmarkStart w:id="660" w:name="_Toc297120523"/>
      <w:bookmarkStart w:id="661" w:name="_Toc296503223"/>
      <w:bookmarkStart w:id="662" w:name="_Toc292559933"/>
      <w:bookmarkStart w:id="663" w:name="_Toc296944562"/>
      <w:bookmarkStart w:id="664" w:name="_Toc300935016"/>
      <w:bookmarkStart w:id="665" w:name="_Toc296891263"/>
      <w:bookmarkStart w:id="666" w:name="_Toc303539173"/>
      <w:bookmarkStart w:id="667" w:name="_Toc292559428"/>
      <w:bookmarkStart w:id="668" w:name="_Toc296346724"/>
      <w:bookmarkStart w:id="669" w:name="_Toc297123565"/>
      <w:bookmarkStart w:id="670" w:name="_Toc296891051"/>
      <w:bookmarkStart w:id="671" w:name="_Toc304295596"/>
      <w:bookmarkStart w:id="672" w:name="_Toc297216224"/>
      <w:bookmarkStart w:id="673" w:name="_Toc297048409"/>
      <w:bookmarkStart w:id="674" w:name="_Toc296347222"/>
      <w:bookmarkStart w:id="675" w:name="_Toc267251475"/>
      <w:bookmarkStart w:id="676" w:name="_Toc267251473"/>
      <w:bookmarkStart w:id="677" w:name="_Toc267251471"/>
      <w:bookmarkStart w:id="678" w:name="_Toc267251470"/>
      <w:bookmarkStart w:id="679" w:name="_Toc267251474"/>
      <w:bookmarkStart w:id="680" w:name="_Toc267251472"/>
      <w:bookmarkStart w:id="681" w:name="_Toc267251476"/>
      <w:r>
        <w:rPr>
          <w:rFonts w:hint="eastAsia" w:ascii="宋体" w:hAnsi="宋体" w:cs="宋体"/>
          <w:szCs w:val="21"/>
        </w:rPr>
        <w:t>13.2 竣工验收</w:t>
      </w:r>
    </w:p>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Pr>
        <w:spacing w:line="360" w:lineRule="auto"/>
        <w:jc w:val="left"/>
        <w:rPr>
          <w:rFonts w:ascii="宋体" w:hAnsi="宋体" w:cs="宋体"/>
          <w:szCs w:val="21"/>
        </w:rPr>
      </w:pPr>
      <w:bookmarkStart w:id="682" w:name="_Toc280868704"/>
      <w:bookmarkStart w:id="683" w:name="_Toc280868705"/>
      <w:bookmarkStart w:id="684" w:name="_Toc280868706"/>
      <w:bookmarkStart w:id="685" w:name="_Toc280868707"/>
      <w:bookmarkStart w:id="686" w:name="_Toc280868708"/>
      <w:bookmarkStart w:id="687" w:name="_Toc280868709"/>
      <w:r>
        <w:rPr>
          <w:rFonts w:hint="eastAsia" w:ascii="宋体" w:hAnsi="宋体" w:cs="宋体"/>
          <w:szCs w:val="21"/>
        </w:rPr>
        <w:t>13.2.2竣工验收程序</w:t>
      </w:r>
    </w:p>
    <w:bookmarkEnd w:id="682"/>
    <w:p>
      <w:pPr>
        <w:spacing w:line="360" w:lineRule="auto"/>
        <w:jc w:val="left"/>
        <w:rPr>
          <w:rFonts w:ascii="宋体" w:hAnsi="宋体" w:cs="宋体"/>
          <w:kern w:val="0"/>
          <w:szCs w:val="21"/>
        </w:rPr>
      </w:pPr>
      <w:r>
        <w:rPr>
          <w:rFonts w:hint="eastAsia" w:ascii="宋体" w:hAnsi="宋体" w:cs="宋体"/>
          <w:kern w:val="0"/>
          <w:szCs w:val="21"/>
        </w:rPr>
        <w:t>关于竣工验收程序的约定：</w:t>
      </w:r>
    </w:p>
    <w:p>
      <w:pPr>
        <w:spacing w:line="360" w:lineRule="auto"/>
        <w:jc w:val="left"/>
        <w:rPr>
          <w:rFonts w:ascii="宋体" w:hAnsi="宋体" w:cs="宋体"/>
          <w:kern w:val="0"/>
          <w:szCs w:val="21"/>
          <w:u w:val="single"/>
        </w:rPr>
      </w:pPr>
      <w:r>
        <w:rPr>
          <w:rFonts w:hint="eastAsia" w:ascii="宋体" w:hAnsi="宋体" w:cs="宋体"/>
          <w:kern w:val="0"/>
          <w:szCs w:val="21"/>
          <w:u w:val="single"/>
        </w:rPr>
        <w:t>（1）承包人向发包人报送竣工验收申请报告，发包人应在收到竣工验收申请报告后14天内完成审查。发包人审查后认为尚不具备验收条件的，应通知承包人在竣工验收前承包人还需完成的工作内容，承包人应在完成监理人通知的全部工作内容后，再次提交竣工验收申请报告。</w:t>
      </w:r>
    </w:p>
    <w:p>
      <w:pPr>
        <w:spacing w:line="360" w:lineRule="auto"/>
        <w:jc w:val="left"/>
        <w:rPr>
          <w:rFonts w:ascii="宋体" w:hAnsi="宋体" w:cs="宋体"/>
          <w:kern w:val="0"/>
          <w:szCs w:val="21"/>
          <w:u w:val="single"/>
        </w:rPr>
      </w:pPr>
      <w:r>
        <w:rPr>
          <w:rFonts w:hint="eastAsia" w:ascii="宋体" w:hAnsi="宋体" w:cs="宋体"/>
          <w:kern w:val="0"/>
          <w:szCs w:val="21"/>
          <w:u w:val="single"/>
        </w:rPr>
        <w:t>（2）发包人审查后认为已具备竣工验收条件的，应将竣工验收申请报告提交发包人，发包人应在收到经发包人审核的竣工验收申请报告后28天内审批完毕并上报监理人，待监理人审批完毕后组织监理人、承包人、设计人等相关单位完成竣工验收。</w:t>
      </w:r>
    </w:p>
    <w:p>
      <w:pPr>
        <w:spacing w:line="360" w:lineRule="auto"/>
        <w:jc w:val="left"/>
        <w:rPr>
          <w:rFonts w:ascii="宋体" w:hAnsi="宋体" w:cs="宋体"/>
          <w:kern w:val="0"/>
          <w:szCs w:val="21"/>
          <w:u w:val="single"/>
        </w:rPr>
      </w:pPr>
      <w:r>
        <w:rPr>
          <w:rFonts w:hint="eastAsia" w:ascii="宋体" w:hAnsi="宋体" w:cs="宋体"/>
          <w:kern w:val="0"/>
          <w:szCs w:val="21"/>
          <w:u w:val="single"/>
        </w:rPr>
        <w:t>（3）竣工验收合格的，发包人应在验收合格后14天内向承包人签发工程接收证书。发包人无正当理由逾期不颁发工程接收证书的，自验收合格后第15天起视为已颁发工程接收证书。</w:t>
      </w:r>
    </w:p>
    <w:p>
      <w:pPr>
        <w:spacing w:line="360" w:lineRule="auto"/>
        <w:jc w:val="left"/>
        <w:rPr>
          <w:rFonts w:ascii="宋体" w:hAnsi="宋体" w:cs="宋体"/>
          <w:kern w:val="0"/>
          <w:szCs w:val="21"/>
          <w:u w:val="single"/>
        </w:rPr>
      </w:pPr>
      <w:r>
        <w:rPr>
          <w:rFonts w:hint="eastAsia" w:ascii="宋体" w:hAnsi="宋体" w:cs="宋体"/>
          <w:kern w:val="0"/>
          <w:szCs w:val="21"/>
          <w:u w:val="single"/>
        </w:rPr>
        <w:t>（4）竣工验收不合格的，发包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pPr>
        <w:spacing w:line="360" w:lineRule="auto"/>
        <w:jc w:val="left"/>
        <w:rPr>
          <w:rFonts w:ascii="宋体" w:hAnsi="宋体" w:cs="宋体"/>
          <w:szCs w:val="21"/>
        </w:rPr>
      </w:pPr>
      <w:r>
        <w:rPr>
          <w:rFonts w:hint="eastAsia" w:ascii="宋体" w:hAnsi="宋体" w:cs="宋体"/>
          <w:kern w:val="0"/>
          <w:szCs w:val="21"/>
        </w:rPr>
        <w:t>发包人不按照本项约定组织竣工验收、颁发工程接收证书的违约金的计算方法：</w:t>
      </w:r>
      <w:r>
        <w:rPr>
          <w:rFonts w:hint="eastAsia" w:ascii="宋体" w:hAnsi="宋体" w:cs="宋体"/>
          <w:szCs w:val="21"/>
          <w:u w:val="single"/>
        </w:rPr>
        <w:t>不采用</w:t>
      </w:r>
      <w:r>
        <w:rPr>
          <w:rFonts w:hint="eastAsia" w:ascii="宋体" w:hAnsi="宋体" w:cs="宋体"/>
          <w:szCs w:val="21"/>
        </w:rPr>
        <w:t>。</w:t>
      </w:r>
    </w:p>
    <w:bookmarkEnd w:id="683"/>
    <w:p>
      <w:pPr>
        <w:spacing w:line="360" w:lineRule="auto"/>
        <w:jc w:val="left"/>
        <w:rPr>
          <w:rFonts w:ascii="宋体" w:hAnsi="宋体" w:cs="宋体"/>
          <w:szCs w:val="21"/>
        </w:rPr>
      </w:pPr>
      <w:r>
        <w:rPr>
          <w:rFonts w:hint="eastAsia" w:ascii="宋体" w:hAnsi="宋体" w:cs="宋体"/>
          <w:szCs w:val="21"/>
        </w:rPr>
        <w:t>13.2.5移交、接收全部与部分工程</w:t>
      </w:r>
    </w:p>
    <w:bookmarkEnd w:id="684"/>
    <w:p>
      <w:pPr>
        <w:spacing w:line="360" w:lineRule="auto"/>
        <w:jc w:val="left"/>
        <w:rPr>
          <w:rFonts w:ascii="宋体" w:hAnsi="宋体" w:cs="宋体"/>
          <w:kern w:val="0"/>
          <w:szCs w:val="21"/>
        </w:rPr>
      </w:pPr>
      <w:r>
        <w:rPr>
          <w:rFonts w:hint="eastAsia" w:ascii="宋体" w:hAnsi="宋体" w:cs="宋体"/>
          <w:kern w:val="0"/>
          <w:szCs w:val="21"/>
        </w:rPr>
        <w:t>承包人向发包人移交工程的期限：</w:t>
      </w:r>
      <w:r>
        <w:rPr>
          <w:rFonts w:hint="eastAsia" w:ascii="宋体" w:hAnsi="宋体" w:cs="宋体"/>
          <w:kern w:val="0"/>
          <w:szCs w:val="21"/>
          <w:u w:val="single"/>
        </w:rPr>
        <w:t>颁发工程接收证书后7天内</w:t>
      </w:r>
      <w:r>
        <w:rPr>
          <w:rFonts w:hint="eastAsia" w:ascii="宋体" w:hAnsi="宋体" w:cs="宋体"/>
          <w:szCs w:val="21"/>
        </w:rPr>
        <w:t>。</w:t>
      </w:r>
    </w:p>
    <w:p>
      <w:pPr>
        <w:spacing w:line="360" w:lineRule="auto"/>
        <w:jc w:val="left"/>
        <w:rPr>
          <w:rFonts w:ascii="宋体" w:hAnsi="宋体" w:cs="宋体"/>
          <w:szCs w:val="21"/>
          <w:u w:val="single"/>
        </w:rPr>
      </w:pPr>
      <w:r>
        <w:rPr>
          <w:rFonts w:hint="eastAsia" w:ascii="宋体" w:hAnsi="宋体" w:cs="宋体"/>
          <w:kern w:val="0"/>
          <w:szCs w:val="21"/>
        </w:rPr>
        <w:t>发包人未按本合同约定接收全部或部分工程的，违约金的计算方法为：</w:t>
      </w:r>
      <w:r>
        <w:rPr>
          <w:rFonts w:hint="eastAsia" w:ascii="宋体" w:hAnsi="宋体" w:cs="宋体"/>
          <w:szCs w:val="21"/>
          <w:u w:val="single"/>
        </w:rPr>
        <w:t>不采用</w:t>
      </w:r>
      <w:r>
        <w:rPr>
          <w:rFonts w:hint="eastAsia" w:ascii="宋体" w:hAnsi="宋体" w:cs="宋体"/>
          <w:szCs w:val="21"/>
        </w:rPr>
        <w:t>。</w:t>
      </w:r>
    </w:p>
    <w:bookmarkEnd w:id="685"/>
    <w:p>
      <w:pPr>
        <w:spacing w:line="360" w:lineRule="auto"/>
        <w:jc w:val="left"/>
        <w:rPr>
          <w:rFonts w:ascii="宋体" w:hAnsi="宋体" w:cs="宋体"/>
          <w:szCs w:val="21"/>
        </w:rPr>
      </w:pPr>
      <w:r>
        <w:rPr>
          <w:rFonts w:hint="eastAsia" w:ascii="宋体" w:hAnsi="宋体" w:cs="宋体"/>
          <w:szCs w:val="21"/>
        </w:rPr>
        <w:t>承包人未按时移交工程的，违约金的计算方法为：</w:t>
      </w:r>
      <w:r>
        <w:rPr>
          <w:rFonts w:hint="eastAsia" w:ascii="宋体" w:hAnsi="宋体" w:cs="宋体"/>
          <w:szCs w:val="21"/>
          <w:u w:val="single"/>
        </w:rPr>
        <w:t>每延误一天按5000元/天向发包人缴纳违约金。</w:t>
      </w:r>
    </w:p>
    <w:bookmarkEnd w:id="686"/>
    <w:p>
      <w:pPr>
        <w:spacing w:line="360" w:lineRule="auto"/>
        <w:jc w:val="left"/>
        <w:rPr>
          <w:rFonts w:ascii="宋体" w:hAnsi="宋体" w:cs="宋体"/>
          <w:szCs w:val="21"/>
        </w:rPr>
      </w:pPr>
      <w:r>
        <w:rPr>
          <w:rFonts w:hint="eastAsia" w:ascii="宋体" w:hAnsi="宋体" w:cs="宋体"/>
          <w:szCs w:val="21"/>
        </w:rPr>
        <w:t>13.6 竣工退场</w:t>
      </w:r>
    </w:p>
    <w:p>
      <w:pPr>
        <w:spacing w:line="360" w:lineRule="auto"/>
        <w:jc w:val="left"/>
        <w:rPr>
          <w:rFonts w:ascii="宋体" w:hAnsi="宋体" w:cs="宋体"/>
          <w:kern w:val="0"/>
          <w:szCs w:val="21"/>
        </w:rPr>
      </w:pPr>
      <w:r>
        <w:rPr>
          <w:rFonts w:hint="eastAsia" w:ascii="宋体" w:hAnsi="宋体" w:cs="宋体"/>
          <w:kern w:val="0"/>
          <w:szCs w:val="21"/>
        </w:rPr>
        <w:t>13.6.1 竣工退场</w:t>
      </w:r>
    </w:p>
    <w:p>
      <w:pPr>
        <w:spacing w:line="360" w:lineRule="auto"/>
        <w:jc w:val="left"/>
        <w:rPr>
          <w:rFonts w:ascii="宋体" w:hAnsi="宋体" w:cs="宋体"/>
          <w:kern w:val="0"/>
          <w:szCs w:val="21"/>
        </w:rPr>
      </w:pPr>
      <w:r>
        <w:rPr>
          <w:rFonts w:hint="eastAsia" w:ascii="宋体" w:hAnsi="宋体" w:cs="宋体"/>
          <w:kern w:val="0"/>
          <w:szCs w:val="21"/>
        </w:rPr>
        <w:t>承包人完成竣工退场的期限：</w:t>
      </w:r>
      <w:r>
        <w:rPr>
          <w:rFonts w:hint="eastAsia" w:ascii="宋体" w:hAnsi="宋体" w:cs="宋体"/>
          <w:szCs w:val="21"/>
          <w:u w:val="single"/>
        </w:rPr>
        <w:t>完工后7天内撤离</w:t>
      </w:r>
      <w:r>
        <w:rPr>
          <w:rFonts w:hint="eastAsia" w:ascii="宋体" w:hAnsi="宋体" w:cs="宋体"/>
          <w:kern w:val="0"/>
          <w:szCs w:val="21"/>
        </w:rPr>
        <w:t>。</w:t>
      </w:r>
    </w:p>
    <w:p>
      <w:pPr>
        <w:spacing w:line="360" w:lineRule="auto"/>
        <w:jc w:val="left"/>
        <w:rPr>
          <w:rFonts w:ascii="宋体" w:hAnsi="宋体" w:cs="宋体"/>
          <w:b/>
          <w:szCs w:val="21"/>
        </w:rPr>
      </w:pPr>
      <w:bookmarkStart w:id="688" w:name="_Toc351203646"/>
      <w:r>
        <w:rPr>
          <w:rFonts w:hint="eastAsia" w:ascii="宋体" w:hAnsi="宋体" w:cs="宋体"/>
          <w:szCs w:val="21"/>
        </w:rPr>
        <w:t>14. 竣工结算</w:t>
      </w:r>
      <w:bookmarkEnd w:id="688"/>
    </w:p>
    <w:p>
      <w:pPr>
        <w:spacing w:line="360" w:lineRule="auto"/>
        <w:jc w:val="left"/>
        <w:rPr>
          <w:rFonts w:ascii="宋体" w:hAnsi="宋体" w:cs="宋体"/>
          <w:szCs w:val="21"/>
        </w:rPr>
      </w:pPr>
      <w:r>
        <w:rPr>
          <w:rFonts w:hint="eastAsia" w:ascii="宋体" w:hAnsi="宋体" w:cs="宋体"/>
          <w:szCs w:val="21"/>
        </w:rPr>
        <w:t>14.1 竣工付款申请</w:t>
      </w:r>
    </w:p>
    <w:p>
      <w:pPr>
        <w:spacing w:line="360" w:lineRule="auto"/>
        <w:ind w:firstLine="420" w:firstLineChars="200"/>
        <w:jc w:val="left"/>
        <w:rPr>
          <w:rFonts w:ascii="宋体" w:hAnsi="宋体" w:cs="宋体"/>
          <w:szCs w:val="21"/>
        </w:rPr>
      </w:pPr>
      <w:r>
        <w:rPr>
          <w:rFonts w:hint="eastAsia" w:ascii="宋体" w:hAnsi="宋体" w:cs="宋体"/>
          <w:szCs w:val="21"/>
        </w:rPr>
        <w:t>承包人提交竣工付款申请单的期限：</w:t>
      </w:r>
      <w:r>
        <w:rPr>
          <w:rFonts w:hint="eastAsia" w:ascii="宋体" w:hAnsi="宋体" w:cs="宋体"/>
          <w:szCs w:val="21"/>
          <w:u w:val="single"/>
        </w:rPr>
        <w:t>承包人在工程交工验收完成后30天内将工程结算资料报送发包人和监理人审核。如因承包人原因未能按时提交结算资料的，自工程完工初验完成后第31天起，每延误一天发包人按1000元/天处以承包人违约处罚金，直至合同总价的3%，并由承包人承担由此造成的一切后果。</w:t>
      </w:r>
    </w:p>
    <w:p>
      <w:pPr>
        <w:autoSpaceDE w:val="0"/>
        <w:autoSpaceDN w:val="0"/>
        <w:adjustRightInd w:val="0"/>
        <w:spacing w:line="360" w:lineRule="auto"/>
        <w:ind w:firstLine="420" w:firstLineChars="200"/>
        <w:jc w:val="left"/>
        <w:rPr>
          <w:rFonts w:ascii="宋体" w:hAnsi="宋体" w:cs="宋体"/>
          <w:szCs w:val="21"/>
          <w:u w:val="single"/>
        </w:rPr>
      </w:pPr>
      <w:r>
        <w:rPr>
          <w:rFonts w:hint="eastAsia" w:ascii="宋体" w:hAnsi="宋体" w:cs="宋体"/>
          <w:szCs w:val="21"/>
        </w:rPr>
        <w:t>竣工付款申请单应包括的内容：</w:t>
      </w:r>
      <w:r>
        <w:rPr>
          <w:rFonts w:hint="eastAsia" w:ascii="宋体" w:hAnsi="宋体" w:cs="宋体"/>
          <w:szCs w:val="21"/>
          <w:u w:val="single"/>
        </w:rPr>
        <w:t>（1）竣工结算合同价格；（2）发包人已支付承包人的款项；（3）应扣留的质量保证金； （4）发包人应支付承包人的合同价款。</w:t>
      </w:r>
    </w:p>
    <w:p>
      <w:pPr>
        <w:spacing w:line="360" w:lineRule="auto"/>
        <w:jc w:val="left"/>
        <w:rPr>
          <w:rFonts w:ascii="宋体" w:hAnsi="宋体" w:cs="宋体"/>
          <w:szCs w:val="21"/>
        </w:rPr>
      </w:pPr>
      <w:r>
        <w:rPr>
          <w:rFonts w:hint="eastAsia" w:ascii="宋体" w:hAnsi="宋体" w:cs="宋体"/>
          <w:szCs w:val="21"/>
        </w:rPr>
        <w:t>14.2 竣工结算审核</w:t>
      </w:r>
    </w:p>
    <w:p>
      <w:pPr>
        <w:spacing w:line="360" w:lineRule="auto"/>
        <w:ind w:firstLine="420" w:firstLineChars="200"/>
        <w:jc w:val="left"/>
        <w:rPr>
          <w:rFonts w:ascii="宋体" w:hAnsi="宋体" w:cs="宋体"/>
          <w:szCs w:val="21"/>
          <w:u w:val="single"/>
        </w:rPr>
      </w:pPr>
      <w:r>
        <w:rPr>
          <w:rFonts w:hint="eastAsia" w:ascii="宋体" w:hAnsi="宋体" w:cs="宋体"/>
          <w:szCs w:val="21"/>
        </w:rPr>
        <w:t>发包人审批竣工付款申请单的期限：</w:t>
      </w:r>
      <w:r>
        <w:rPr>
          <w:rFonts w:hint="eastAsia" w:ascii="宋体" w:hAnsi="宋体" w:cs="宋体"/>
          <w:szCs w:val="21"/>
          <w:u w:val="single"/>
        </w:rPr>
        <w:t>发包人应在收到竣工结算申请单后20天内完成核查。</w:t>
      </w:r>
    </w:p>
    <w:p>
      <w:pPr>
        <w:spacing w:line="360" w:lineRule="auto"/>
        <w:ind w:firstLine="424" w:firstLineChars="202"/>
        <w:jc w:val="left"/>
        <w:rPr>
          <w:rFonts w:ascii="宋体" w:hAnsi="宋体" w:cs="宋体"/>
          <w:szCs w:val="21"/>
        </w:rPr>
      </w:pPr>
      <w:r>
        <w:rPr>
          <w:rFonts w:hint="eastAsia" w:ascii="宋体" w:hAnsi="宋体" w:cs="宋体"/>
          <w:szCs w:val="21"/>
        </w:rPr>
        <w:t>发包人完成竣工付款的期限：</w:t>
      </w:r>
      <w:r>
        <w:rPr>
          <w:rFonts w:hint="eastAsia" w:ascii="宋体" w:hAnsi="宋体" w:cs="宋体"/>
          <w:szCs w:val="21"/>
          <w:u w:val="single"/>
        </w:rPr>
        <w:t>发包人审批竣工付款申请单后30日内。</w:t>
      </w:r>
    </w:p>
    <w:p>
      <w:pPr>
        <w:spacing w:line="360" w:lineRule="auto"/>
        <w:ind w:firstLine="424" w:firstLineChars="202"/>
        <w:jc w:val="left"/>
        <w:rPr>
          <w:rFonts w:ascii="宋体" w:hAnsi="宋体" w:cs="宋体"/>
          <w:szCs w:val="21"/>
          <w:u w:val="single"/>
        </w:rPr>
      </w:pPr>
      <w:r>
        <w:rPr>
          <w:rFonts w:hint="eastAsia" w:ascii="宋体" w:hAnsi="宋体" w:cs="宋体"/>
          <w:szCs w:val="21"/>
        </w:rPr>
        <w:t>关于竣工付款证书异议部分复核的方式和程序：</w:t>
      </w:r>
      <w:r>
        <w:rPr>
          <w:rFonts w:hint="eastAsia" w:ascii="宋体" w:hAnsi="宋体" w:cs="宋体"/>
          <w:szCs w:val="21"/>
          <w:u w:val="single"/>
        </w:rPr>
        <w:t>应在收到发包人签认的竣工付款证书后7天内提出异议，并由合同当事人按照专用合同条款约定的方式和程序进行复核，或按照第20条〔争议解决〕约定处理。对于无异议部分，发包人应签发临时竣工付款证书，并按通用条款第（2）项完成付款。承包人逾期未提出异议的，视为认可发包人的审批结果。</w:t>
      </w:r>
    </w:p>
    <w:p>
      <w:pPr>
        <w:spacing w:line="360" w:lineRule="auto"/>
        <w:rPr>
          <w:rFonts w:ascii="宋体" w:hAnsi="宋体" w:cs="宋体"/>
          <w:szCs w:val="21"/>
        </w:rPr>
      </w:pPr>
      <w:r>
        <w:rPr>
          <w:rFonts w:hint="eastAsia" w:ascii="宋体" w:hAnsi="宋体" w:cs="宋体"/>
          <w:szCs w:val="21"/>
        </w:rPr>
        <w:t>14.3结算原则：</w:t>
      </w:r>
    </w:p>
    <w:p>
      <w:pPr>
        <w:spacing w:line="400" w:lineRule="exact"/>
        <w:ind w:firstLine="420" w:firstLineChars="200"/>
        <w:rPr>
          <w:rFonts w:ascii="宋体" w:hAnsi="宋体" w:cs="宋体"/>
          <w:szCs w:val="21"/>
        </w:rPr>
      </w:pPr>
      <w:r>
        <w:rPr>
          <w:rFonts w:hint="eastAsia" w:ascii="宋体" w:hAnsi="宋体" w:cs="宋体"/>
          <w:szCs w:val="21"/>
        </w:rPr>
        <w:t>结算金额=钢结构工程造价（最终下浮后的金额）+新增工程及变更费用±其他增减费用-施工水电费用。</w:t>
      </w:r>
    </w:p>
    <w:p>
      <w:pPr>
        <w:spacing w:line="400" w:lineRule="exact"/>
        <w:ind w:firstLine="420" w:firstLineChars="200"/>
        <w:rPr>
          <w:rFonts w:ascii="宋体" w:hAnsi="宋体" w:cs="宋体"/>
          <w:szCs w:val="21"/>
        </w:rPr>
      </w:pPr>
      <w:r>
        <w:rPr>
          <w:rFonts w:hint="eastAsia" w:ascii="宋体" w:hAnsi="宋体" w:cs="宋体"/>
          <w:szCs w:val="21"/>
        </w:rPr>
        <w:t>施工水电费用按挂表计量或定额相关规定</w:t>
      </w:r>
    </w:p>
    <w:p>
      <w:pPr>
        <w:spacing w:line="400" w:lineRule="exact"/>
        <w:ind w:firstLine="420" w:firstLineChars="200"/>
        <w:rPr>
          <w:rFonts w:ascii="宋体" w:hAnsi="宋体" w:cs="宋体"/>
          <w:szCs w:val="21"/>
        </w:rPr>
      </w:pPr>
      <w:r>
        <w:rPr>
          <w:rFonts w:hint="eastAsia" w:ascii="宋体" w:hAnsi="宋体" w:cs="宋体"/>
          <w:szCs w:val="21"/>
        </w:rPr>
        <w:t>注：增值税发票分别开具，其中1</w:t>
      </w:r>
      <w:r>
        <w:rPr>
          <w:rFonts w:ascii="宋体" w:hAnsi="宋体" w:cs="宋体"/>
          <w:szCs w:val="21"/>
        </w:rPr>
        <w:t>6</w:t>
      </w:r>
      <w:r>
        <w:rPr>
          <w:rFonts w:hint="eastAsia" w:ascii="宋体" w:hAnsi="宋体" w:cs="宋体"/>
          <w:szCs w:val="21"/>
        </w:rPr>
        <w:t>%增值税发票占65</w:t>
      </w:r>
      <w:r>
        <w:rPr>
          <w:rFonts w:ascii="宋体" w:hAnsi="宋体" w:cs="宋体"/>
          <w:szCs w:val="21"/>
        </w:rPr>
        <w:t>%，10%增值税发票占</w:t>
      </w:r>
      <w:r>
        <w:rPr>
          <w:rFonts w:hint="eastAsia" w:ascii="宋体" w:hAnsi="宋体" w:cs="宋体"/>
          <w:szCs w:val="21"/>
        </w:rPr>
        <w:t>35</w:t>
      </w:r>
      <w:r>
        <w:rPr>
          <w:rFonts w:ascii="宋体" w:hAnsi="宋体" w:cs="宋体"/>
          <w:szCs w:val="21"/>
        </w:rPr>
        <w:t>%</w:t>
      </w:r>
      <w:r>
        <w:rPr>
          <w:rFonts w:hint="eastAsia" w:ascii="宋体" w:hAnsi="宋体" w:cs="宋体"/>
          <w:szCs w:val="21"/>
        </w:rPr>
        <w:t>。</w:t>
      </w:r>
    </w:p>
    <w:p>
      <w:pPr>
        <w:ind w:firstLine="424" w:firstLineChars="202"/>
        <w:rPr>
          <w:rFonts w:ascii="宋体" w:hAnsi="宋体" w:cs="宋体"/>
          <w:szCs w:val="21"/>
        </w:rPr>
      </w:pPr>
      <w:r>
        <w:rPr>
          <w:rFonts w:hint="eastAsia" w:ascii="宋体" w:hAnsi="宋体" w:cs="宋体"/>
          <w:szCs w:val="21"/>
        </w:rPr>
        <w:t>1、合同承包范围内的变更内容（见合同协议书第一条中的第3条分包工作范围），同合同计价原则。</w:t>
      </w:r>
    </w:p>
    <w:p>
      <w:pPr>
        <w:spacing w:line="40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、由发包单位现场项目部追加的钢结构合同范围外的工作任务，按工作任务书确定的工作任务，按市场行情进行核价。</w:t>
      </w:r>
    </w:p>
    <w:p>
      <w:pPr>
        <w:spacing w:line="400" w:lineRule="exact"/>
        <w:ind w:firstLine="420" w:firstLineChars="200"/>
        <w:rPr>
          <w:rFonts w:ascii="宋体" w:hAnsi="宋体" w:cs="宋体"/>
          <w:szCs w:val="21"/>
        </w:rPr>
      </w:pPr>
      <w:r>
        <w:rPr>
          <w:rFonts w:hint="eastAsia" w:ascii="宋体" w:hAnsi="宋体" w:cs="宋体"/>
          <w:szCs w:val="21"/>
        </w:rPr>
        <w:t>3、合同范围内的零星计日工按2008重庆市定额及相关文件规定办理签证；合同范围外由发包单位现场项目部追加的工作任务，发生的零星计日工单价：技工含税包干单价按24</w:t>
      </w:r>
      <w:r>
        <w:rPr>
          <w:rFonts w:ascii="宋体" w:hAnsi="宋体" w:cs="宋体"/>
          <w:szCs w:val="21"/>
        </w:rPr>
        <w:t>0</w:t>
      </w:r>
      <w:r>
        <w:rPr>
          <w:rFonts w:hint="eastAsia" w:ascii="宋体" w:hAnsi="宋体" w:cs="宋体"/>
          <w:szCs w:val="21"/>
        </w:rPr>
        <w:t>元/工日；普工含税单价按14</w:t>
      </w:r>
      <w:r>
        <w:rPr>
          <w:rFonts w:ascii="宋体" w:hAnsi="宋体" w:cs="宋体"/>
          <w:szCs w:val="21"/>
        </w:rPr>
        <w:t>0</w:t>
      </w:r>
      <w:r>
        <w:rPr>
          <w:rFonts w:hint="eastAsia" w:ascii="宋体" w:hAnsi="宋体" w:cs="宋体"/>
          <w:szCs w:val="21"/>
        </w:rPr>
        <w:t>元/工日计算。</w:t>
      </w:r>
    </w:p>
    <w:p>
      <w:pPr>
        <w:spacing w:line="360" w:lineRule="auto"/>
        <w:jc w:val="left"/>
        <w:rPr>
          <w:rFonts w:ascii="宋体" w:hAnsi="宋体" w:cs="宋体"/>
          <w:szCs w:val="21"/>
        </w:rPr>
      </w:pPr>
      <w:r>
        <w:rPr>
          <w:rFonts w:hint="eastAsia" w:ascii="宋体" w:hAnsi="宋体" w:cs="宋体"/>
          <w:szCs w:val="21"/>
        </w:rPr>
        <w:t>14.4 最终结清</w:t>
      </w:r>
    </w:p>
    <w:p>
      <w:pPr>
        <w:spacing w:line="360" w:lineRule="auto"/>
        <w:jc w:val="left"/>
        <w:rPr>
          <w:rFonts w:ascii="宋体" w:hAnsi="宋体" w:cs="宋体"/>
          <w:kern w:val="0"/>
          <w:szCs w:val="21"/>
        </w:rPr>
      </w:pPr>
      <w:r>
        <w:rPr>
          <w:rFonts w:hint="eastAsia" w:ascii="宋体" w:hAnsi="宋体" w:cs="宋体"/>
          <w:kern w:val="0"/>
          <w:szCs w:val="21"/>
        </w:rPr>
        <w:t>14.4.1 最终结清申请。</w:t>
      </w:r>
    </w:p>
    <w:p>
      <w:pPr>
        <w:spacing w:line="360" w:lineRule="auto"/>
        <w:jc w:val="left"/>
        <w:rPr>
          <w:rFonts w:ascii="宋体" w:hAnsi="宋体" w:cs="宋体"/>
          <w:kern w:val="0"/>
          <w:szCs w:val="21"/>
        </w:rPr>
      </w:pPr>
      <w:r>
        <w:rPr>
          <w:rFonts w:hint="eastAsia" w:ascii="宋体" w:hAnsi="宋体" w:cs="宋体"/>
          <w:kern w:val="0"/>
          <w:szCs w:val="21"/>
        </w:rPr>
        <w:t>承包人提交最终结清申请单的份数：</w:t>
      </w:r>
      <w:r>
        <w:rPr>
          <w:rFonts w:hint="eastAsia" w:ascii="宋体" w:hAnsi="宋体" w:cs="宋体"/>
          <w:szCs w:val="21"/>
          <w:u w:val="single"/>
        </w:rPr>
        <w:t xml:space="preserve">   5份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kern w:val="0"/>
          <w:szCs w:val="21"/>
        </w:rPr>
        <w:t>承包人提交最终结算申请单的期限</w:t>
      </w:r>
      <w:r>
        <w:rPr>
          <w:rFonts w:hint="eastAsia" w:ascii="宋体" w:hAnsi="宋体" w:cs="宋体"/>
          <w:szCs w:val="21"/>
          <w:u w:val="single"/>
        </w:rPr>
        <w:t xml:space="preserve">：  缺陷责任期满后28天内 </w:t>
      </w:r>
      <w:r>
        <w:rPr>
          <w:rFonts w:hint="eastAsia" w:ascii="宋体" w:hAnsi="宋体" w:cs="宋体"/>
          <w:szCs w:val="21"/>
        </w:rPr>
        <w:t xml:space="preserve">。 </w:t>
      </w:r>
    </w:p>
    <w:p>
      <w:pPr>
        <w:spacing w:line="360" w:lineRule="auto"/>
        <w:jc w:val="left"/>
        <w:rPr>
          <w:rFonts w:ascii="宋体" w:hAnsi="宋体" w:cs="宋体"/>
          <w:szCs w:val="21"/>
        </w:rPr>
      </w:pPr>
      <w:r>
        <w:rPr>
          <w:rFonts w:hint="eastAsia" w:ascii="宋体" w:hAnsi="宋体" w:cs="宋体"/>
          <w:szCs w:val="21"/>
        </w:rPr>
        <w:t>14.4.2 最终结清证书和支付</w:t>
      </w:r>
    </w:p>
    <w:p>
      <w:pPr>
        <w:spacing w:line="360" w:lineRule="auto"/>
        <w:jc w:val="left"/>
        <w:rPr>
          <w:rFonts w:ascii="宋体" w:hAnsi="宋体" w:cs="宋体"/>
          <w:szCs w:val="21"/>
        </w:rPr>
      </w:pPr>
      <w:r>
        <w:rPr>
          <w:rFonts w:hint="eastAsia" w:ascii="宋体" w:hAnsi="宋体" w:cs="宋体"/>
          <w:szCs w:val="21"/>
        </w:rPr>
        <w:t>（1）发包人完成最终结清申请单的审批并颁发最终结清证书的期限：</w:t>
      </w:r>
      <w:r>
        <w:rPr>
          <w:rFonts w:hint="eastAsia" w:ascii="宋体" w:hAnsi="宋体" w:cs="宋体"/>
          <w:szCs w:val="21"/>
          <w:u w:val="single"/>
        </w:rPr>
        <w:t>收到承包人提交的最终结清申请单后14天内 。</w:t>
      </w:r>
    </w:p>
    <w:p>
      <w:pPr>
        <w:spacing w:line="360" w:lineRule="auto"/>
        <w:jc w:val="left"/>
        <w:rPr>
          <w:rFonts w:ascii="宋体" w:hAnsi="宋体" w:cs="宋体"/>
          <w:szCs w:val="21"/>
        </w:rPr>
      </w:pPr>
      <w:r>
        <w:rPr>
          <w:rFonts w:hint="eastAsia" w:ascii="宋体" w:hAnsi="宋体" w:cs="宋体"/>
          <w:szCs w:val="21"/>
        </w:rPr>
        <w:t>（2）发包人完成支付的期限：</w:t>
      </w:r>
      <w:r>
        <w:rPr>
          <w:rFonts w:hint="eastAsia" w:ascii="宋体" w:hAnsi="宋体" w:cs="宋体"/>
          <w:szCs w:val="21"/>
          <w:u w:val="single"/>
        </w:rPr>
        <w:t>工程质量缺陷责任期满后一个月内</w:t>
      </w:r>
      <w:r>
        <w:rPr>
          <w:rFonts w:hint="eastAsia" w:ascii="宋体" w:hAnsi="宋体" w:cs="宋体"/>
          <w:szCs w:val="21"/>
        </w:rPr>
        <w:t>。</w:t>
      </w:r>
    </w:p>
    <w:bookmarkEnd w:id="675"/>
    <w:bookmarkEnd w:id="676"/>
    <w:bookmarkEnd w:id="677"/>
    <w:bookmarkEnd w:id="678"/>
    <w:bookmarkEnd w:id="679"/>
    <w:bookmarkEnd w:id="680"/>
    <w:bookmarkEnd w:id="681"/>
    <w:bookmarkEnd w:id="687"/>
    <w:p>
      <w:pPr>
        <w:spacing w:line="360" w:lineRule="auto"/>
        <w:jc w:val="left"/>
        <w:rPr>
          <w:rFonts w:ascii="宋体" w:hAnsi="宋体" w:cs="宋体"/>
          <w:b/>
          <w:szCs w:val="21"/>
        </w:rPr>
      </w:pPr>
      <w:bookmarkStart w:id="689" w:name="_Toc351203647"/>
      <w:bookmarkStart w:id="690" w:name="_Toc267251483"/>
      <w:bookmarkStart w:id="691" w:name="_Toc267251484"/>
      <w:bookmarkStart w:id="692" w:name="_Toc267251482"/>
      <w:bookmarkStart w:id="693" w:name="_Toc267251485"/>
      <w:bookmarkStart w:id="694" w:name="_Toc267251488"/>
      <w:bookmarkStart w:id="695" w:name="_Toc267251489"/>
      <w:bookmarkStart w:id="696" w:name="_Toc267251486"/>
      <w:bookmarkStart w:id="697" w:name="_Toc267251490"/>
      <w:bookmarkStart w:id="698" w:name="_Toc267251502"/>
      <w:bookmarkStart w:id="699" w:name="_Toc267251494"/>
      <w:bookmarkStart w:id="700" w:name="_Toc267251493"/>
      <w:bookmarkStart w:id="701" w:name="_Toc267251503"/>
      <w:bookmarkStart w:id="702" w:name="_Toc267251491"/>
      <w:bookmarkStart w:id="703" w:name="_Toc267251499"/>
      <w:bookmarkStart w:id="704" w:name="_Toc267251498"/>
      <w:bookmarkStart w:id="705" w:name="_Toc267251492"/>
      <w:bookmarkStart w:id="706" w:name="_Toc267251495"/>
      <w:bookmarkStart w:id="707" w:name="_Toc267251496"/>
      <w:bookmarkStart w:id="708" w:name="_Toc267251497"/>
      <w:bookmarkStart w:id="709" w:name="_Toc267251501"/>
      <w:bookmarkStart w:id="710" w:name="_Toc267251504"/>
      <w:bookmarkStart w:id="711" w:name="_Toc267251506"/>
      <w:bookmarkStart w:id="712" w:name="_Toc267251507"/>
      <w:bookmarkStart w:id="713" w:name="_Toc267251508"/>
      <w:bookmarkStart w:id="714" w:name="_Toc267251515"/>
      <w:bookmarkStart w:id="715" w:name="_Toc267251510"/>
      <w:bookmarkStart w:id="716" w:name="_Toc267251513"/>
      <w:bookmarkStart w:id="717" w:name="_Toc267251511"/>
      <w:bookmarkStart w:id="718" w:name="_Toc267251509"/>
      <w:bookmarkStart w:id="719" w:name="_Toc267251514"/>
      <w:r>
        <w:rPr>
          <w:rFonts w:hint="eastAsia" w:ascii="宋体" w:hAnsi="宋体" w:cs="宋体"/>
          <w:szCs w:val="21"/>
        </w:rPr>
        <w:t>15. 缺陷责任期与保修</w:t>
      </w:r>
      <w:bookmarkEnd w:id="689"/>
    </w:p>
    <w:p>
      <w:pPr>
        <w:spacing w:line="360" w:lineRule="auto"/>
        <w:jc w:val="left"/>
        <w:rPr>
          <w:rFonts w:ascii="宋体" w:hAnsi="宋体" w:cs="宋体"/>
          <w:szCs w:val="21"/>
        </w:rPr>
      </w:pPr>
      <w:r>
        <w:rPr>
          <w:rFonts w:hint="eastAsia" w:ascii="宋体" w:hAnsi="宋体" w:cs="宋体"/>
          <w:szCs w:val="21"/>
        </w:rPr>
        <w:t>15.2缺陷责任期</w:t>
      </w:r>
      <w:bookmarkEnd w:id="690"/>
    </w:p>
    <w:p>
      <w:pPr>
        <w:spacing w:line="360" w:lineRule="auto"/>
        <w:jc w:val="left"/>
        <w:rPr>
          <w:rFonts w:ascii="宋体" w:hAnsi="宋体" w:cs="宋体"/>
          <w:szCs w:val="21"/>
        </w:rPr>
      </w:pPr>
      <w:r>
        <w:rPr>
          <w:rFonts w:hint="eastAsia" w:ascii="宋体" w:hAnsi="宋体" w:cs="宋体"/>
          <w:szCs w:val="21"/>
        </w:rPr>
        <w:t>缺陷责任期的具体期限：</w:t>
      </w:r>
      <w:r>
        <w:rPr>
          <w:rFonts w:hint="eastAsia" w:ascii="宋体" w:hAnsi="宋体" w:cs="宋体"/>
          <w:szCs w:val="21"/>
          <w:u w:val="single"/>
        </w:rPr>
        <w:t>24个月</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15.3 质量保证金</w:t>
      </w:r>
    </w:p>
    <w:p>
      <w:pPr>
        <w:spacing w:line="360" w:lineRule="auto"/>
        <w:jc w:val="left"/>
        <w:rPr>
          <w:rFonts w:ascii="宋体" w:hAnsi="宋体" w:cs="宋体"/>
          <w:szCs w:val="21"/>
        </w:rPr>
      </w:pPr>
      <w:r>
        <w:rPr>
          <w:rFonts w:hint="eastAsia" w:ascii="宋体" w:hAnsi="宋体" w:cs="宋体"/>
          <w:szCs w:val="21"/>
        </w:rPr>
        <w:t>关于是否扣留质量保证金的约定：</w:t>
      </w:r>
      <w:r>
        <w:rPr>
          <w:rFonts w:hint="eastAsia" w:ascii="宋体" w:hAnsi="宋体" w:cs="宋体"/>
          <w:szCs w:val="21"/>
          <w:u w:val="single"/>
        </w:rPr>
        <w:t xml:space="preserve">须扣留合同价的3%作为质量保证金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15.3.1 承包人提供质量保证金的方式</w:t>
      </w:r>
    </w:p>
    <w:p>
      <w:pPr>
        <w:spacing w:line="360" w:lineRule="auto"/>
        <w:jc w:val="left"/>
        <w:rPr>
          <w:rFonts w:ascii="宋体" w:hAnsi="宋体" w:cs="宋体"/>
          <w:kern w:val="0"/>
          <w:szCs w:val="21"/>
        </w:rPr>
      </w:pPr>
      <w:r>
        <w:rPr>
          <w:rFonts w:hint="eastAsia" w:ascii="宋体" w:hAnsi="宋体" w:cs="宋体"/>
          <w:szCs w:val="21"/>
        </w:rPr>
        <w:t>质量保证金：</w:t>
      </w:r>
      <w:r>
        <w:rPr>
          <w:rFonts w:hint="eastAsia" w:ascii="宋体" w:hAnsi="宋体" w:cs="宋体"/>
          <w:kern w:val="0"/>
          <w:szCs w:val="21"/>
          <w:u w:val="single"/>
        </w:rPr>
        <w:t xml:space="preserve"> 3 </w:t>
      </w:r>
      <w:r>
        <w:rPr>
          <w:rFonts w:hint="eastAsia" w:ascii="宋体" w:hAnsi="宋体" w:cs="宋体"/>
          <w:kern w:val="0"/>
          <w:szCs w:val="21"/>
        </w:rPr>
        <w:t>%的工程款；</w:t>
      </w:r>
    </w:p>
    <w:p>
      <w:pPr>
        <w:spacing w:line="360" w:lineRule="auto"/>
        <w:jc w:val="left"/>
        <w:rPr>
          <w:rFonts w:ascii="宋体" w:hAnsi="宋体" w:cs="宋体"/>
          <w:szCs w:val="21"/>
        </w:rPr>
      </w:pPr>
      <w:r>
        <w:rPr>
          <w:rFonts w:hint="eastAsia" w:ascii="宋体" w:hAnsi="宋体" w:cs="宋体"/>
          <w:szCs w:val="21"/>
        </w:rPr>
        <w:t xml:space="preserve">15.3.2 质量保证金的扣留 </w:t>
      </w:r>
    </w:p>
    <w:p>
      <w:pPr>
        <w:spacing w:line="360" w:lineRule="auto"/>
        <w:jc w:val="left"/>
        <w:rPr>
          <w:rFonts w:ascii="宋体" w:hAnsi="宋体" w:cs="宋体"/>
          <w:kern w:val="0"/>
          <w:szCs w:val="21"/>
        </w:rPr>
      </w:pPr>
      <w:r>
        <w:rPr>
          <w:rFonts w:hint="eastAsia" w:ascii="宋体" w:hAnsi="宋体" w:cs="宋体"/>
          <w:szCs w:val="21"/>
        </w:rPr>
        <w:t>质量保证金的扣留：</w:t>
      </w:r>
      <w:r>
        <w:rPr>
          <w:rFonts w:hint="eastAsia" w:ascii="宋体" w:hAnsi="宋体" w:cs="宋体"/>
          <w:kern w:val="0"/>
          <w:szCs w:val="21"/>
        </w:rPr>
        <w:t>工程竣工结算时一次性扣留质量保证金；</w:t>
      </w:r>
    </w:p>
    <w:p>
      <w:pPr>
        <w:spacing w:line="360" w:lineRule="auto"/>
        <w:jc w:val="left"/>
        <w:rPr>
          <w:rFonts w:ascii="宋体" w:hAnsi="宋体" w:cs="宋体"/>
          <w:kern w:val="0"/>
          <w:szCs w:val="21"/>
        </w:rPr>
      </w:pPr>
      <w:r>
        <w:rPr>
          <w:rFonts w:hint="eastAsia" w:ascii="宋体" w:hAnsi="宋体" w:cs="宋体"/>
          <w:szCs w:val="21"/>
        </w:rPr>
        <w:t>关于质量保证金的补充约定：</w:t>
      </w:r>
      <w:r>
        <w:rPr>
          <w:rFonts w:hint="eastAsia" w:ascii="宋体" w:hAnsi="宋体" w:cs="宋体"/>
          <w:kern w:val="0"/>
          <w:szCs w:val="21"/>
          <w:u w:val="single"/>
        </w:rPr>
        <w:t xml:space="preserve"> 不采用 </w:t>
      </w:r>
      <w:r>
        <w:rPr>
          <w:rFonts w:hint="eastAsia" w:ascii="宋体" w:hAnsi="宋体" w:cs="宋体"/>
          <w:kern w:val="0"/>
          <w:szCs w:val="21"/>
        </w:rPr>
        <w:t>。</w:t>
      </w:r>
    </w:p>
    <w:p>
      <w:pPr>
        <w:spacing w:line="360" w:lineRule="auto"/>
        <w:jc w:val="left"/>
        <w:rPr>
          <w:rFonts w:ascii="宋体" w:hAnsi="宋体" w:cs="宋体"/>
          <w:szCs w:val="21"/>
        </w:rPr>
      </w:pPr>
      <w:r>
        <w:rPr>
          <w:rFonts w:hint="eastAsia" w:ascii="宋体" w:hAnsi="宋体" w:cs="宋体"/>
          <w:kern w:val="0"/>
          <w:szCs w:val="21"/>
        </w:rPr>
        <w:t>15.3.3</w:t>
      </w:r>
      <w:r>
        <w:rPr>
          <w:rFonts w:hint="eastAsia" w:ascii="宋体" w:hAnsi="宋体" w:cs="宋体"/>
          <w:szCs w:val="21"/>
        </w:rPr>
        <w:t>质量保证金的退还</w:t>
      </w:r>
    </w:p>
    <w:p>
      <w:pPr>
        <w:spacing w:line="360" w:lineRule="auto"/>
        <w:jc w:val="left"/>
        <w:rPr>
          <w:rFonts w:ascii="宋体" w:hAnsi="宋体" w:cs="宋体"/>
          <w:szCs w:val="21"/>
        </w:rPr>
      </w:pPr>
      <w:r>
        <w:rPr>
          <w:rFonts w:hint="eastAsia" w:ascii="宋体" w:hAnsi="宋体" w:cs="宋体"/>
          <w:szCs w:val="21"/>
        </w:rPr>
        <w:t>质量保证金的退还：验收合格</w:t>
      </w:r>
      <w:r>
        <w:rPr>
          <w:rFonts w:ascii="宋体" w:hAnsi="宋体" w:cs="宋体"/>
          <w:szCs w:val="21"/>
        </w:rPr>
        <w:t>之日起</w:t>
      </w:r>
      <w:r>
        <w:rPr>
          <w:rFonts w:hint="eastAsia" w:ascii="宋体" w:hAnsi="宋体" w:cs="宋体"/>
          <w:szCs w:val="21"/>
        </w:rPr>
        <w:t>2年</w:t>
      </w:r>
      <w:r>
        <w:rPr>
          <w:rFonts w:ascii="宋体" w:hAnsi="宋体" w:cs="宋体"/>
          <w:szCs w:val="21"/>
        </w:rPr>
        <w:t>后扣除</w:t>
      </w:r>
      <w:r>
        <w:rPr>
          <w:rFonts w:hint="eastAsia" w:ascii="宋体" w:hAnsi="宋体" w:cs="宋体"/>
          <w:szCs w:val="21"/>
        </w:rPr>
        <w:t>由</w:t>
      </w:r>
      <w:r>
        <w:rPr>
          <w:rFonts w:ascii="宋体" w:hAnsi="宋体" w:cs="宋体"/>
          <w:szCs w:val="21"/>
        </w:rPr>
        <w:t>承包人承担的维修费用后无息退还</w:t>
      </w:r>
      <w:r>
        <w:rPr>
          <w:rFonts w:hint="eastAsia" w:ascii="宋体" w:hAnsi="宋体" w:cs="宋体"/>
          <w:szCs w:val="21"/>
        </w:rPr>
        <w:t>。</w:t>
      </w:r>
    </w:p>
    <w:bookmarkEnd w:id="691"/>
    <w:bookmarkEnd w:id="692"/>
    <w:p>
      <w:pPr>
        <w:spacing w:line="360" w:lineRule="auto"/>
        <w:jc w:val="left"/>
        <w:rPr>
          <w:rFonts w:ascii="宋体" w:hAnsi="宋体" w:cs="宋体"/>
          <w:szCs w:val="21"/>
        </w:rPr>
      </w:pPr>
      <w:r>
        <w:rPr>
          <w:rFonts w:hint="eastAsia" w:ascii="宋体" w:hAnsi="宋体" w:cs="宋体"/>
          <w:szCs w:val="21"/>
        </w:rPr>
        <w:t>15.4保修</w:t>
      </w:r>
    </w:p>
    <w:bookmarkEnd w:id="693"/>
    <w:p>
      <w:pPr>
        <w:spacing w:line="360" w:lineRule="auto"/>
        <w:jc w:val="left"/>
        <w:rPr>
          <w:rFonts w:ascii="宋体" w:hAnsi="宋体" w:cs="宋体"/>
          <w:szCs w:val="21"/>
        </w:rPr>
      </w:pPr>
      <w:r>
        <w:rPr>
          <w:rFonts w:hint="eastAsia" w:ascii="宋体" w:hAnsi="宋体" w:cs="宋体"/>
          <w:szCs w:val="21"/>
        </w:rPr>
        <w:t>15.4.1 保修责任</w:t>
      </w:r>
    </w:p>
    <w:p>
      <w:pPr>
        <w:spacing w:line="360" w:lineRule="auto"/>
        <w:jc w:val="left"/>
        <w:rPr>
          <w:rFonts w:ascii="宋体" w:hAnsi="宋体" w:cs="宋体"/>
          <w:kern w:val="0"/>
          <w:szCs w:val="21"/>
        </w:rPr>
      </w:pPr>
      <w:r>
        <w:rPr>
          <w:rFonts w:hint="eastAsia" w:ascii="宋体" w:hAnsi="宋体" w:cs="宋体"/>
          <w:szCs w:val="21"/>
        </w:rPr>
        <w:t>工程保修期为：</w:t>
      </w:r>
      <w:r>
        <w:rPr>
          <w:rFonts w:hint="eastAsia" w:ascii="宋体" w:hAnsi="宋体" w:cs="宋体"/>
          <w:kern w:val="0"/>
          <w:szCs w:val="21"/>
          <w:u w:val="single"/>
        </w:rPr>
        <w:t>按质量</w:t>
      </w:r>
      <w:r>
        <w:rPr>
          <w:rFonts w:ascii="宋体" w:hAnsi="宋体" w:cs="宋体"/>
          <w:kern w:val="0"/>
          <w:szCs w:val="21"/>
          <w:u w:val="single"/>
        </w:rPr>
        <w:t>保修书执行</w:t>
      </w:r>
      <w:r>
        <w:rPr>
          <w:rFonts w:hint="eastAsia" w:ascii="宋体" w:hAnsi="宋体" w:cs="宋体"/>
          <w:kern w:val="0"/>
          <w:szCs w:val="21"/>
        </w:rPr>
        <w:t>。</w:t>
      </w:r>
    </w:p>
    <w:p>
      <w:pPr>
        <w:spacing w:line="360" w:lineRule="auto"/>
        <w:jc w:val="left"/>
        <w:rPr>
          <w:rFonts w:ascii="宋体" w:hAnsi="宋体" w:cs="宋体"/>
          <w:szCs w:val="21"/>
        </w:rPr>
      </w:pPr>
      <w:r>
        <w:rPr>
          <w:rFonts w:hint="eastAsia" w:ascii="宋体" w:hAnsi="宋体" w:cs="宋体"/>
          <w:szCs w:val="21"/>
        </w:rPr>
        <w:t>15.4.3 修复通知</w:t>
      </w:r>
    </w:p>
    <w:p>
      <w:pPr>
        <w:spacing w:line="360" w:lineRule="auto"/>
        <w:jc w:val="left"/>
        <w:rPr>
          <w:rFonts w:ascii="宋体" w:hAnsi="宋体" w:cs="宋体"/>
          <w:kern w:val="0"/>
          <w:szCs w:val="21"/>
        </w:rPr>
      </w:pPr>
      <w:r>
        <w:rPr>
          <w:rFonts w:hint="eastAsia" w:ascii="宋体" w:hAnsi="宋体" w:cs="宋体"/>
          <w:kern w:val="0"/>
          <w:szCs w:val="21"/>
        </w:rPr>
        <w:t>承包人收到保修通知并到达工程现场的合理时间：</w:t>
      </w:r>
      <w:r>
        <w:rPr>
          <w:rFonts w:hint="eastAsia" w:ascii="宋体" w:hAnsi="宋体" w:cs="宋体"/>
          <w:kern w:val="0"/>
          <w:szCs w:val="21"/>
          <w:u w:val="single"/>
        </w:rPr>
        <w:t xml:space="preserve"> 7天内</w:t>
      </w:r>
      <w:r>
        <w:rPr>
          <w:rFonts w:hint="eastAsia" w:ascii="宋体" w:hAnsi="宋体" w:cs="宋体"/>
          <w:kern w:val="0"/>
          <w:szCs w:val="21"/>
        </w:rPr>
        <w:t>。</w:t>
      </w:r>
    </w:p>
    <w:bookmarkEnd w:id="694"/>
    <w:bookmarkEnd w:id="695"/>
    <w:bookmarkEnd w:id="696"/>
    <w:bookmarkEnd w:id="697"/>
    <w:p>
      <w:pPr>
        <w:spacing w:line="360" w:lineRule="auto"/>
        <w:jc w:val="left"/>
        <w:rPr>
          <w:rFonts w:ascii="宋体" w:hAnsi="宋体" w:cs="宋体"/>
          <w:b/>
          <w:szCs w:val="21"/>
        </w:rPr>
      </w:pPr>
      <w:bookmarkStart w:id="720" w:name="_Toc351203648"/>
      <w:bookmarkStart w:id="721" w:name="_Toc280868717"/>
      <w:bookmarkStart w:id="722" w:name="_Toc280868718"/>
      <w:r>
        <w:rPr>
          <w:rFonts w:hint="eastAsia" w:ascii="宋体" w:hAnsi="宋体" w:cs="宋体"/>
          <w:szCs w:val="21"/>
        </w:rPr>
        <w:t>16. 违约</w:t>
      </w:r>
      <w:bookmarkEnd w:id="720"/>
    </w:p>
    <w:p>
      <w:pPr>
        <w:spacing w:line="360" w:lineRule="auto"/>
        <w:jc w:val="left"/>
        <w:rPr>
          <w:rFonts w:ascii="宋体" w:hAnsi="宋体" w:cs="宋体"/>
          <w:szCs w:val="21"/>
        </w:rPr>
      </w:pPr>
      <w:r>
        <w:rPr>
          <w:rFonts w:hint="eastAsia" w:ascii="宋体" w:hAnsi="宋体" w:cs="宋体"/>
          <w:szCs w:val="21"/>
        </w:rPr>
        <w:t>16.1 发包人违约</w:t>
      </w:r>
    </w:p>
    <w:p>
      <w:pPr>
        <w:spacing w:line="360" w:lineRule="auto"/>
        <w:jc w:val="left"/>
        <w:rPr>
          <w:rFonts w:ascii="宋体" w:hAnsi="宋体" w:cs="宋体"/>
          <w:kern w:val="0"/>
          <w:szCs w:val="21"/>
        </w:rPr>
      </w:pPr>
      <w:r>
        <w:rPr>
          <w:rFonts w:hint="eastAsia" w:ascii="宋体" w:hAnsi="宋体" w:cs="宋体"/>
          <w:kern w:val="0"/>
          <w:szCs w:val="21"/>
        </w:rPr>
        <w:t>16.1.2 发包人违约的责任</w:t>
      </w:r>
    </w:p>
    <w:p>
      <w:pPr>
        <w:spacing w:line="360" w:lineRule="auto"/>
        <w:jc w:val="left"/>
        <w:rPr>
          <w:rFonts w:ascii="宋体" w:hAnsi="宋体" w:cs="宋体"/>
          <w:kern w:val="0"/>
          <w:szCs w:val="21"/>
        </w:rPr>
      </w:pPr>
      <w:r>
        <w:rPr>
          <w:rFonts w:hint="eastAsia" w:ascii="宋体" w:hAnsi="宋体" w:cs="宋体"/>
          <w:kern w:val="0"/>
          <w:szCs w:val="21"/>
        </w:rPr>
        <w:t>发包人违约责任的承担方式和计算方法：</w:t>
      </w:r>
    </w:p>
    <w:p>
      <w:pPr>
        <w:spacing w:line="360" w:lineRule="auto"/>
        <w:jc w:val="left"/>
        <w:rPr>
          <w:rFonts w:ascii="宋体" w:hAnsi="宋体" w:cs="宋体"/>
          <w:kern w:val="0"/>
          <w:szCs w:val="21"/>
        </w:rPr>
      </w:pPr>
      <w:r>
        <w:rPr>
          <w:rFonts w:hint="eastAsia" w:ascii="宋体" w:hAnsi="宋体" w:cs="宋体"/>
          <w:kern w:val="0"/>
          <w:szCs w:val="21"/>
        </w:rPr>
        <w:t>（1）因发包人原因未能在计划开工日期前7天内下达开工通知的违约责</w:t>
      </w:r>
    </w:p>
    <w:p>
      <w:pPr>
        <w:spacing w:line="360" w:lineRule="auto"/>
        <w:jc w:val="left"/>
        <w:rPr>
          <w:rFonts w:ascii="宋体" w:hAnsi="宋体" w:cs="宋体"/>
          <w:kern w:val="0"/>
          <w:szCs w:val="21"/>
          <w:u w:val="single"/>
        </w:rPr>
      </w:pPr>
      <w:r>
        <w:rPr>
          <w:rFonts w:hint="eastAsia" w:ascii="宋体" w:hAnsi="宋体" w:cs="宋体"/>
          <w:kern w:val="0"/>
          <w:szCs w:val="21"/>
        </w:rPr>
        <w:t>任：</w:t>
      </w:r>
      <w:r>
        <w:rPr>
          <w:rFonts w:hint="eastAsia" w:ascii="宋体" w:hAnsi="宋体" w:cs="宋体"/>
          <w:kern w:val="0"/>
          <w:szCs w:val="21"/>
          <w:u w:val="single"/>
        </w:rPr>
        <w:t xml:space="preserve">     无  </w:t>
      </w:r>
      <w:r>
        <w:rPr>
          <w:rFonts w:hint="eastAsia" w:ascii="宋体" w:hAnsi="宋体" w:cs="宋体"/>
          <w:kern w:val="0"/>
          <w:szCs w:val="21"/>
        </w:rPr>
        <w:t>。</w:t>
      </w:r>
    </w:p>
    <w:p>
      <w:pPr>
        <w:spacing w:line="360" w:lineRule="auto"/>
        <w:jc w:val="left"/>
        <w:rPr>
          <w:rFonts w:ascii="宋体" w:hAnsi="宋体" w:cs="宋体"/>
          <w:kern w:val="0"/>
          <w:szCs w:val="21"/>
        </w:rPr>
      </w:pPr>
      <w:r>
        <w:rPr>
          <w:rFonts w:hint="eastAsia" w:ascii="宋体" w:hAnsi="宋体" w:cs="宋体"/>
          <w:kern w:val="0"/>
          <w:szCs w:val="21"/>
        </w:rPr>
        <w:t>（2）因发包人原因未能按合同约定支付合同价款的违约责任：</w:t>
      </w:r>
      <w:r>
        <w:rPr>
          <w:rFonts w:hint="eastAsia" w:ascii="宋体" w:hAnsi="宋体" w:cs="宋体"/>
          <w:kern w:val="0"/>
          <w:szCs w:val="21"/>
          <w:u w:val="single"/>
        </w:rPr>
        <w:t xml:space="preserve">   双方协商解决   </w:t>
      </w:r>
      <w:r>
        <w:rPr>
          <w:rFonts w:hint="eastAsia" w:ascii="宋体" w:hAnsi="宋体" w:cs="宋体"/>
          <w:kern w:val="0"/>
          <w:szCs w:val="21"/>
        </w:rPr>
        <w:t>。</w:t>
      </w:r>
    </w:p>
    <w:p>
      <w:pPr>
        <w:spacing w:line="360" w:lineRule="auto"/>
        <w:jc w:val="left"/>
        <w:rPr>
          <w:rFonts w:ascii="宋体" w:hAnsi="宋体" w:cs="宋体"/>
          <w:kern w:val="0"/>
          <w:szCs w:val="21"/>
        </w:rPr>
      </w:pPr>
      <w:r>
        <w:rPr>
          <w:rFonts w:hint="eastAsia" w:ascii="宋体" w:hAnsi="宋体" w:cs="宋体"/>
          <w:kern w:val="0"/>
          <w:szCs w:val="21"/>
        </w:rPr>
        <w:t>（3）发包人违反第10.1款〔变更的范围〕第（2）项约定，自行实施被取消的工作或转由他人实施的违约责任：</w:t>
      </w:r>
      <w:r>
        <w:rPr>
          <w:rFonts w:hint="eastAsia" w:ascii="宋体" w:hAnsi="宋体" w:cs="宋体"/>
          <w:kern w:val="0"/>
          <w:szCs w:val="21"/>
          <w:u w:val="single"/>
        </w:rPr>
        <w:t xml:space="preserve">  双方协商解决  </w:t>
      </w:r>
      <w:r>
        <w:rPr>
          <w:rFonts w:hint="eastAsia" w:ascii="宋体" w:hAnsi="宋体" w:cs="宋体"/>
          <w:kern w:val="0"/>
          <w:szCs w:val="21"/>
        </w:rPr>
        <w:t>。</w:t>
      </w:r>
    </w:p>
    <w:p>
      <w:pPr>
        <w:spacing w:line="360" w:lineRule="auto"/>
        <w:jc w:val="left"/>
        <w:rPr>
          <w:rFonts w:ascii="宋体" w:hAnsi="宋体" w:cs="宋体"/>
          <w:kern w:val="0"/>
          <w:szCs w:val="21"/>
        </w:rPr>
      </w:pPr>
      <w:r>
        <w:rPr>
          <w:rFonts w:hint="eastAsia" w:ascii="宋体" w:hAnsi="宋体" w:cs="宋体"/>
          <w:kern w:val="0"/>
          <w:szCs w:val="21"/>
        </w:rPr>
        <w:t>（4）发包人提供的材料、工程设备的规格、数量或质量不符合合同约定，或因发包人原因导致交货日期延误或交货地点变更等情况的违约责任：</w:t>
      </w:r>
      <w:r>
        <w:rPr>
          <w:rFonts w:hint="eastAsia" w:ascii="宋体" w:hAnsi="宋体" w:cs="宋体"/>
          <w:kern w:val="0"/>
          <w:szCs w:val="21"/>
          <w:u w:val="single"/>
        </w:rPr>
        <w:t xml:space="preserve">   双方协商解决   </w:t>
      </w:r>
      <w:r>
        <w:rPr>
          <w:rFonts w:hint="eastAsia" w:ascii="宋体" w:hAnsi="宋体" w:cs="宋体"/>
          <w:kern w:val="0"/>
          <w:szCs w:val="21"/>
        </w:rPr>
        <w:t>。</w:t>
      </w:r>
    </w:p>
    <w:p>
      <w:pPr>
        <w:spacing w:line="360" w:lineRule="auto"/>
        <w:jc w:val="left"/>
        <w:rPr>
          <w:rFonts w:ascii="宋体" w:hAnsi="宋体" w:cs="宋体"/>
          <w:kern w:val="0"/>
          <w:szCs w:val="21"/>
        </w:rPr>
      </w:pPr>
      <w:r>
        <w:rPr>
          <w:rFonts w:hint="eastAsia" w:ascii="宋体" w:hAnsi="宋体" w:cs="宋体"/>
          <w:kern w:val="0"/>
          <w:szCs w:val="21"/>
        </w:rPr>
        <w:t>（5）因发包人违反合同约定造成暂停施工的违约责任：</w:t>
      </w:r>
      <w:r>
        <w:rPr>
          <w:rFonts w:hint="eastAsia" w:ascii="宋体" w:hAnsi="宋体" w:cs="宋体"/>
          <w:kern w:val="0"/>
          <w:szCs w:val="21"/>
          <w:u w:val="single"/>
        </w:rPr>
        <w:t xml:space="preserve">  双方协商解决</w:t>
      </w:r>
      <w:r>
        <w:rPr>
          <w:rFonts w:hint="eastAsia" w:ascii="宋体" w:hAnsi="宋体" w:cs="宋体"/>
          <w:kern w:val="0"/>
          <w:szCs w:val="21"/>
        </w:rPr>
        <w:t>。</w:t>
      </w:r>
    </w:p>
    <w:p>
      <w:pPr>
        <w:spacing w:line="360" w:lineRule="auto"/>
        <w:jc w:val="left"/>
        <w:rPr>
          <w:rFonts w:ascii="宋体" w:hAnsi="宋体" w:cs="宋体"/>
          <w:kern w:val="0"/>
          <w:szCs w:val="21"/>
        </w:rPr>
      </w:pPr>
      <w:r>
        <w:rPr>
          <w:rFonts w:hint="eastAsia" w:ascii="宋体" w:hAnsi="宋体" w:cs="宋体"/>
          <w:kern w:val="0"/>
          <w:szCs w:val="21"/>
        </w:rPr>
        <w:t>（6）发包人无正当理由没有在约定期限内发出复工指示，导致承包人无法复工的违约责任：</w:t>
      </w:r>
      <w:r>
        <w:rPr>
          <w:rFonts w:hint="eastAsia" w:ascii="宋体" w:hAnsi="宋体" w:cs="宋体"/>
          <w:kern w:val="0"/>
          <w:szCs w:val="21"/>
          <w:u w:val="single"/>
        </w:rPr>
        <w:t xml:space="preserve">  双方协商解决</w:t>
      </w:r>
      <w:r>
        <w:rPr>
          <w:rFonts w:hint="eastAsia" w:ascii="宋体" w:hAnsi="宋体" w:cs="宋体"/>
          <w:kern w:val="0"/>
          <w:szCs w:val="21"/>
        </w:rPr>
        <w:t>。</w:t>
      </w:r>
    </w:p>
    <w:p>
      <w:pPr>
        <w:spacing w:line="360" w:lineRule="auto"/>
        <w:jc w:val="left"/>
        <w:rPr>
          <w:rFonts w:ascii="宋体" w:hAnsi="宋体" w:cs="宋体"/>
          <w:szCs w:val="21"/>
        </w:rPr>
      </w:pPr>
      <w:r>
        <w:rPr>
          <w:rFonts w:hint="eastAsia" w:ascii="宋体" w:hAnsi="宋体" w:cs="宋体"/>
          <w:szCs w:val="21"/>
        </w:rPr>
        <w:t>16.2 承包人违约</w:t>
      </w:r>
    </w:p>
    <w:p>
      <w:pPr>
        <w:spacing w:line="360" w:lineRule="auto"/>
        <w:jc w:val="left"/>
        <w:rPr>
          <w:rFonts w:ascii="宋体" w:hAnsi="宋体" w:cs="宋体"/>
          <w:kern w:val="0"/>
          <w:szCs w:val="21"/>
        </w:rPr>
      </w:pPr>
      <w:r>
        <w:rPr>
          <w:rFonts w:hint="eastAsia" w:ascii="宋体" w:hAnsi="宋体" w:cs="宋体"/>
          <w:kern w:val="0"/>
          <w:szCs w:val="21"/>
        </w:rPr>
        <w:t>16.2.1 承包人违约的情形</w:t>
      </w:r>
    </w:p>
    <w:p>
      <w:pPr>
        <w:spacing w:line="360" w:lineRule="auto"/>
        <w:jc w:val="left"/>
        <w:rPr>
          <w:rFonts w:ascii="宋体" w:hAnsi="宋体" w:cs="宋体"/>
          <w:kern w:val="0"/>
          <w:szCs w:val="21"/>
        </w:rPr>
      </w:pPr>
      <w:r>
        <w:rPr>
          <w:rFonts w:hint="eastAsia" w:ascii="宋体" w:hAnsi="宋体" w:cs="宋体"/>
          <w:kern w:val="0"/>
          <w:szCs w:val="21"/>
        </w:rPr>
        <w:t>承包人违约的其他情形：</w:t>
      </w:r>
      <w:r>
        <w:rPr>
          <w:rFonts w:hint="eastAsia" w:ascii="宋体" w:hAnsi="宋体" w:cs="宋体"/>
          <w:kern w:val="0"/>
          <w:szCs w:val="21"/>
          <w:u w:val="single"/>
        </w:rPr>
        <w:t xml:space="preserve"> 承包人未经发包人同意擅自更换项目主要管理人员  </w:t>
      </w:r>
      <w:r>
        <w:rPr>
          <w:rFonts w:hint="eastAsia" w:ascii="宋体" w:hAnsi="宋体" w:cs="宋体"/>
          <w:kern w:val="0"/>
          <w:szCs w:val="21"/>
        </w:rPr>
        <w:t>。</w:t>
      </w:r>
    </w:p>
    <w:p>
      <w:pPr>
        <w:spacing w:line="360" w:lineRule="auto"/>
        <w:jc w:val="left"/>
        <w:rPr>
          <w:rFonts w:ascii="宋体" w:hAnsi="宋体" w:cs="宋体"/>
          <w:kern w:val="0"/>
          <w:szCs w:val="21"/>
        </w:rPr>
      </w:pPr>
      <w:r>
        <w:rPr>
          <w:rFonts w:hint="eastAsia" w:ascii="宋体" w:hAnsi="宋体" w:cs="宋体"/>
          <w:kern w:val="0"/>
          <w:szCs w:val="21"/>
        </w:rPr>
        <w:t>16.2.2承包人违约的责任</w:t>
      </w:r>
    </w:p>
    <w:p>
      <w:pPr>
        <w:spacing w:line="360" w:lineRule="auto"/>
        <w:jc w:val="left"/>
        <w:rPr>
          <w:rFonts w:ascii="宋体" w:hAnsi="宋体" w:cs="宋体"/>
          <w:kern w:val="0"/>
          <w:szCs w:val="21"/>
        </w:rPr>
      </w:pPr>
      <w:r>
        <w:rPr>
          <w:rFonts w:hint="eastAsia" w:ascii="宋体" w:hAnsi="宋体" w:cs="宋体"/>
          <w:kern w:val="0"/>
          <w:szCs w:val="21"/>
        </w:rPr>
        <w:t>承包人违约责任的承担方式和计算方法：</w:t>
      </w:r>
    </w:p>
    <w:p>
      <w:pPr>
        <w:spacing w:line="360" w:lineRule="auto"/>
        <w:jc w:val="left"/>
        <w:rPr>
          <w:rFonts w:ascii="宋体" w:hAnsi="宋体" w:cs="宋体"/>
          <w:kern w:val="0"/>
          <w:szCs w:val="21"/>
          <w:u w:val="single"/>
        </w:rPr>
      </w:pPr>
      <w:r>
        <w:rPr>
          <w:rFonts w:hint="eastAsia" w:ascii="宋体" w:hAnsi="宋体" w:cs="宋体"/>
          <w:kern w:val="0"/>
          <w:szCs w:val="21"/>
        </w:rPr>
        <w:t>1）</w:t>
      </w:r>
      <w:r>
        <w:rPr>
          <w:rFonts w:hint="eastAsia" w:ascii="宋体" w:hAnsi="宋体" w:cs="宋体"/>
          <w:kern w:val="0"/>
          <w:szCs w:val="21"/>
          <w:u w:val="single"/>
        </w:rPr>
        <w:t>未经发包人同意擅自更换项目经理及现场技术负责人的，每更换一次，发包人将对承包单位收取5万元/人次的违约金，发包人有权终止合同，其履约保证金不予退还。</w:t>
      </w:r>
    </w:p>
    <w:p>
      <w:pPr>
        <w:spacing w:line="360" w:lineRule="auto"/>
        <w:jc w:val="left"/>
        <w:rPr>
          <w:rFonts w:ascii="宋体" w:hAnsi="宋体" w:cs="宋体"/>
          <w:kern w:val="0"/>
          <w:szCs w:val="21"/>
          <w:u w:val="single"/>
        </w:rPr>
      </w:pPr>
      <w:r>
        <w:rPr>
          <w:rFonts w:hint="eastAsia" w:ascii="宋体" w:hAnsi="宋体" w:cs="宋体"/>
          <w:kern w:val="0"/>
          <w:szCs w:val="21"/>
          <w:u w:val="single"/>
        </w:rPr>
        <w:t>2）承包人违反合同约定采购和使用不合格的材料和工程设备的，每发生一次发包人将对承包单位收取10万元/次的违约金；</w:t>
      </w:r>
    </w:p>
    <w:p>
      <w:pPr>
        <w:spacing w:line="360" w:lineRule="auto"/>
        <w:jc w:val="left"/>
        <w:rPr>
          <w:rFonts w:ascii="宋体" w:hAnsi="宋体" w:cs="宋体"/>
          <w:szCs w:val="21"/>
        </w:rPr>
      </w:pPr>
      <w:r>
        <w:rPr>
          <w:rFonts w:hint="eastAsia" w:ascii="宋体" w:hAnsi="宋体" w:cs="宋体"/>
          <w:kern w:val="0"/>
          <w:szCs w:val="21"/>
          <w:u w:val="single"/>
        </w:rPr>
        <w:t>3）发包人认为承包人所使用的材料品质存在缺陷，或者偏离图纸及规范要求（以设计和监理书面意见为准），不能适用于本工程的，发包人有权按设计要求的该材料品牌中指定一种供承包人使用，发包人不因更换材料品牌而调整材料价格及相关费用；承包人拒绝按发包人要求更换的，发包人收取承包人该类材料费的20%作为违约金，并按发包人实际支付的货款从承包人的结算价款中扣除。对发包人指定的材料，承包人不能免除对上述工程材料的质量、保修责任、安全等相应的所有责任。确需变更的，须经监理、发包人确认，承包人报价、监理和发包人核价后方能采购。</w:t>
      </w:r>
    </w:p>
    <w:p>
      <w:pPr>
        <w:spacing w:line="360" w:lineRule="auto"/>
        <w:jc w:val="left"/>
        <w:rPr>
          <w:rFonts w:ascii="宋体" w:hAnsi="宋体" w:cs="宋体"/>
          <w:kern w:val="0"/>
          <w:szCs w:val="21"/>
          <w:u w:val="single"/>
        </w:rPr>
      </w:pPr>
      <w:r>
        <w:rPr>
          <w:rFonts w:hint="eastAsia" w:ascii="宋体" w:hAnsi="宋体" w:cs="宋体"/>
          <w:szCs w:val="21"/>
        </w:rPr>
        <w:t>4）</w:t>
      </w:r>
      <w:r>
        <w:rPr>
          <w:rFonts w:hint="eastAsia" w:ascii="宋体" w:hAnsi="宋体" w:cs="宋体"/>
          <w:kern w:val="0"/>
          <w:szCs w:val="21"/>
        </w:rPr>
        <w:t>因承包人原因导致工程质量不符合合同要求的，每发生一次</w:t>
      </w:r>
      <w:r>
        <w:rPr>
          <w:rFonts w:hint="eastAsia" w:ascii="宋体" w:hAnsi="宋体" w:cs="宋体"/>
          <w:kern w:val="0"/>
          <w:szCs w:val="21"/>
          <w:u w:val="single"/>
        </w:rPr>
        <w:t>发包人将对承包单位收取20000元/次的违约金，同时承包人必须按合同要求的标准进行返工并承担费用；</w:t>
      </w:r>
    </w:p>
    <w:p>
      <w:pPr>
        <w:spacing w:line="360" w:lineRule="auto"/>
        <w:jc w:val="left"/>
        <w:rPr>
          <w:rFonts w:ascii="宋体" w:hAnsi="宋体" w:cs="宋体"/>
          <w:kern w:val="0"/>
          <w:szCs w:val="21"/>
          <w:u w:val="single"/>
        </w:rPr>
      </w:pPr>
      <w:r>
        <w:rPr>
          <w:rFonts w:hint="eastAsia" w:ascii="宋体" w:hAnsi="宋体" w:cs="宋体"/>
          <w:kern w:val="0"/>
          <w:szCs w:val="21"/>
          <w:u w:val="single"/>
        </w:rPr>
        <w:t>5）</w:t>
      </w:r>
      <w:r>
        <w:rPr>
          <w:rFonts w:hint="eastAsia" w:ascii="宋体" w:hAnsi="宋体" w:cs="宋体"/>
          <w:kern w:val="0"/>
          <w:szCs w:val="21"/>
        </w:rPr>
        <w:t>承包人违反技术标准与要求的约定，未经批准，私自将已按照合同约定进入施工现场的材料或设备撤离施工现场的，每发生一次</w:t>
      </w:r>
      <w:r>
        <w:rPr>
          <w:rFonts w:hint="eastAsia" w:ascii="宋体" w:hAnsi="宋体" w:cs="宋体"/>
          <w:kern w:val="0"/>
          <w:szCs w:val="21"/>
          <w:u w:val="single"/>
        </w:rPr>
        <w:t>发包人收取承包人该类材料、设备费的200%作为违约金，造成工期违约的同时承担工期违约责任。</w:t>
      </w:r>
    </w:p>
    <w:p>
      <w:pPr>
        <w:spacing w:line="360" w:lineRule="auto"/>
        <w:jc w:val="left"/>
        <w:rPr>
          <w:rFonts w:ascii="宋体" w:hAnsi="宋体" w:cs="宋体"/>
          <w:szCs w:val="21"/>
          <w:u w:val="single"/>
        </w:rPr>
      </w:pPr>
      <w:r>
        <w:rPr>
          <w:rFonts w:hint="eastAsia" w:ascii="宋体" w:hAnsi="宋体" w:cs="宋体"/>
          <w:kern w:val="0"/>
          <w:szCs w:val="21"/>
          <w:u w:val="single"/>
        </w:rPr>
        <w:t>6）承包人未能按施工进度计划及时完成合同约定的工作，造成工期延误的，</w:t>
      </w:r>
      <w:r>
        <w:rPr>
          <w:rFonts w:hint="eastAsia" w:ascii="宋体" w:hAnsi="宋体" w:cs="宋体"/>
          <w:szCs w:val="21"/>
          <w:u w:val="single"/>
        </w:rPr>
        <w:t>延误在5天以内的，每延迟一天发包人按10000元/天处以承包人违约处罚金，处罚金按工期延误天数累计计算；当累计延误天数超过5天时，每延误一天发包人按2万元/天处以承包人违约处罚金，</w:t>
      </w:r>
      <w:r>
        <w:rPr>
          <w:rFonts w:hint="eastAsia" w:ascii="宋体" w:hAnsi="宋体" w:cs="宋体"/>
          <w:kern w:val="0"/>
          <w:szCs w:val="21"/>
          <w:u w:val="single"/>
        </w:rPr>
        <w:t>延期超过20天，发包人有权解除合同，同时承包人应承担发包人另行委托承包人而发生费用增加包括发包人因此承担的项目业主对发包人的处罚，</w:t>
      </w:r>
      <w:r>
        <w:rPr>
          <w:rFonts w:hint="eastAsia" w:ascii="宋体" w:hAnsi="宋体" w:cs="宋体"/>
          <w:szCs w:val="21"/>
          <w:u w:val="single"/>
        </w:rPr>
        <w:t>并增加处罚承包人一次性违约处罚金10万元，两项违约处罚金同时执行。</w:t>
      </w:r>
    </w:p>
    <w:p>
      <w:pPr>
        <w:spacing w:line="360" w:lineRule="auto"/>
        <w:jc w:val="left"/>
        <w:rPr>
          <w:rFonts w:ascii="宋体" w:hAnsi="宋体" w:cs="宋体"/>
          <w:kern w:val="0"/>
          <w:szCs w:val="21"/>
          <w:u w:val="single"/>
        </w:rPr>
      </w:pPr>
      <w:r>
        <w:rPr>
          <w:rFonts w:hint="eastAsia" w:ascii="宋体" w:hAnsi="宋体" w:cs="宋体"/>
          <w:szCs w:val="21"/>
          <w:u w:val="single"/>
        </w:rPr>
        <w:t>7）</w:t>
      </w:r>
      <w:r>
        <w:rPr>
          <w:rFonts w:hint="eastAsia" w:ascii="宋体" w:hAnsi="宋体" w:cs="宋体"/>
          <w:kern w:val="0"/>
          <w:szCs w:val="21"/>
          <w:u w:val="single"/>
        </w:rPr>
        <w:t>承包人明确表示或者以其行为表明不履行合同主要义务的，每发生一次发包人将对承包单位收取1000~10000元/次的违约金。</w:t>
      </w:r>
    </w:p>
    <w:p>
      <w:pPr>
        <w:autoSpaceDE w:val="0"/>
        <w:autoSpaceDN w:val="0"/>
        <w:adjustRightInd w:val="0"/>
        <w:spacing w:line="460" w:lineRule="exact"/>
        <w:jc w:val="left"/>
        <w:rPr>
          <w:rFonts w:ascii="宋体" w:hAnsi="宋体" w:cs="宋体"/>
          <w:kern w:val="0"/>
          <w:szCs w:val="21"/>
          <w:u w:val="single"/>
        </w:rPr>
      </w:pPr>
      <w:r>
        <w:rPr>
          <w:rFonts w:hint="eastAsia" w:ascii="宋体" w:hAnsi="宋体" w:cs="宋体"/>
          <w:kern w:val="0"/>
          <w:szCs w:val="21"/>
          <w:u w:val="single"/>
        </w:rPr>
        <w:t>8）承包人未能按照合同约定履行其他义务的。每发生一次发包人将对承包单位收取200~10000元/次的违约金，包括但不限于下列行为：</w:t>
      </w:r>
    </w:p>
    <w:p>
      <w:pPr>
        <w:autoSpaceDE w:val="0"/>
        <w:autoSpaceDN w:val="0"/>
        <w:adjustRightInd w:val="0"/>
        <w:spacing w:line="460" w:lineRule="exact"/>
        <w:ind w:firstLine="315" w:firstLineChars="150"/>
        <w:jc w:val="left"/>
        <w:rPr>
          <w:rFonts w:ascii="宋体" w:hAnsi="宋体" w:cs="宋体"/>
          <w:kern w:val="0"/>
          <w:szCs w:val="21"/>
          <w:u w:val="single"/>
        </w:rPr>
      </w:pPr>
      <w:r>
        <w:rPr>
          <w:rFonts w:hint="eastAsia" w:ascii="宋体" w:hAnsi="宋体" w:cs="宋体"/>
          <w:kern w:val="0"/>
          <w:szCs w:val="21"/>
          <w:u w:val="single"/>
        </w:rPr>
        <w:t>承包人未按施工质量管理规定擅自进行施工；</w:t>
      </w:r>
    </w:p>
    <w:p>
      <w:pPr>
        <w:autoSpaceDE w:val="0"/>
        <w:autoSpaceDN w:val="0"/>
        <w:adjustRightInd w:val="0"/>
        <w:spacing w:line="460" w:lineRule="exact"/>
        <w:ind w:firstLine="315" w:firstLineChars="150"/>
        <w:jc w:val="left"/>
        <w:rPr>
          <w:rFonts w:ascii="宋体" w:hAnsi="宋体" w:cs="宋体"/>
          <w:kern w:val="0"/>
          <w:szCs w:val="21"/>
          <w:u w:val="single"/>
        </w:rPr>
      </w:pPr>
      <w:r>
        <w:rPr>
          <w:rFonts w:hint="eastAsia" w:ascii="宋体" w:hAnsi="宋体" w:cs="宋体"/>
          <w:kern w:val="0"/>
          <w:szCs w:val="21"/>
          <w:u w:val="single"/>
        </w:rPr>
        <w:t>承包人未按安全文明施工管理规定施工作业；</w:t>
      </w:r>
    </w:p>
    <w:p>
      <w:pPr>
        <w:autoSpaceDE w:val="0"/>
        <w:autoSpaceDN w:val="0"/>
        <w:adjustRightInd w:val="0"/>
        <w:spacing w:line="400" w:lineRule="exact"/>
        <w:ind w:firstLine="105" w:firstLineChars="50"/>
        <w:jc w:val="left"/>
        <w:rPr>
          <w:rFonts w:ascii="宋体" w:hAnsi="宋体" w:cs="宋体"/>
          <w:kern w:val="0"/>
          <w:szCs w:val="21"/>
          <w:u w:val="single"/>
        </w:rPr>
      </w:pPr>
      <w:r>
        <w:rPr>
          <w:rFonts w:hint="eastAsia" w:ascii="宋体" w:hAnsi="宋体" w:cs="宋体"/>
          <w:kern w:val="0"/>
          <w:szCs w:val="21"/>
          <w:u w:val="single"/>
        </w:rPr>
        <w:t>9）安全生产违约处罚</w:t>
      </w:r>
    </w:p>
    <w:p>
      <w:pPr>
        <w:autoSpaceDE w:val="0"/>
        <w:autoSpaceDN w:val="0"/>
        <w:adjustRightInd w:val="0"/>
        <w:spacing w:line="400" w:lineRule="exact"/>
        <w:ind w:firstLine="210" w:firstLineChars="100"/>
        <w:jc w:val="left"/>
        <w:rPr>
          <w:rFonts w:ascii="宋体" w:hAnsi="宋体" w:cs="宋体"/>
          <w:kern w:val="0"/>
          <w:szCs w:val="21"/>
          <w:u w:val="single"/>
        </w:rPr>
      </w:pPr>
      <w:r>
        <w:rPr>
          <w:rFonts w:hint="eastAsia" w:ascii="宋体" w:hAnsi="宋体" w:cs="宋体"/>
          <w:kern w:val="0"/>
          <w:szCs w:val="21"/>
          <w:u w:val="single"/>
        </w:rPr>
        <w:t>①承包人原因发生安全事故造成人员轻伤以上事故的，每次每人处罚5000～50000元；</w:t>
      </w:r>
    </w:p>
    <w:p>
      <w:pPr>
        <w:autoSpaceDE w:val="0"/>
        <w:autoSpaceDN w:val="0"/>
        <w:adjustRightInd w:val="0"/>
        <w:spacing w:line="400" w:lineRule="exact"/>
        <w:ind w:firstLine="210" w:firstLineChars="100"/>
        <w:jc w:val="left"/>
        <w:rPr>
          <w:rFonts w:ascii="宋体" w:hAnsi="宋体" w:cs="宋体"/>
          <w:kern w:val="0"/>
          <w:szCs w:val="21"/>
          <w:u w:val="single"/>
        </w:rPr>
      </w:pPr>
      <w:r>
        <w:rPr>
          <w:rFonts w:hint="eastAsia" w:ascii="宋体" w:hAnsi="宋体" w:cs="宋体"/>
          <w:kern w:val="0"/>
          <w:szCs w:val="21"/>
          <w:u w:val="single"/>
        </w:rPr>
        <w:t>②承包人原因发生安全事故造成人员死亡事故的，每次每人处罚100000～100000元；</w:t>
      </w:r>
    </w:p>
    <w:p>
      <w:pPr>
        <w:autoSpaceDE w:val="0"/>
        <w:autoSpaceDN w:val="0"/>
        <w:adjustRightInd w:val="0"/>
        <w:spacing w:line="400" w:lineRule="exact"/>
        <w:ind w:firstLine="210" w:firstLineChars="100"/>
        <w:jc w:val="left"/>
        <w:rPr>
          <w:rFonts w:ascii="宋体" w:hAnsi="宋体" w:cs="宋体"/>
          <w:kern w:val="0"/>
          <w:szCs w:val="21"/>
          <w:u w:val="single"/>
        </w:rPr>
      </w:pPr>
      <w:r>
        <w:rPr>
          <w:rFonts w:hint="eastAsia" w:ascii="宋体" w:hAnsi="宋体" w:cs="宋体"/>
          <w:kern w:val="0"/>
          <w:szCs w:val="21"/>
          <w:u w:val="single"/>
        </w:rPr>
        <w:t>③安全生产措施不满足要求或违规操作，每次处罚1000～5000元；</w:t>
      </w:r>
    </w:p>
    <w:p>
      <w:pPr>
        <w:autoSpaceDE w:val="0"/>
        <w:autoSpaceDN w:val="0"/>
        <w:adjustRightInd w:val="0"/>
        <w:spacing w:line="400" w:lineRule="exact"/>
        <w:ind w:left="239" w:leftChars="114"/>
        <w:jc w:val="left"/>
        <w:rPr>
          <w:rFonts w:ascii="宋体" w:hAnsi="宋体" w:cs="宋体"/>
          <w:kern w:val="0"/>
          <w:szCs w:val="21"/>
          <w:u w:val="single"/>
        </w:rPr>
      </w:pPr>
      <w:r>
        <w:rPr>
          <w:rFonts w:hint="eastAsia" w:ascii="宋体" w:hAnsi="宋体" w:cs="宋体"/>
          <w:kern w:val="0"/>
          <w:szCs w:val="21"/>
          <w:u w:val="single"/>
        </w:rPr>
        <w:t>④承包人原因安全生产措施不满足要求或违规操作，经发包人、监理、业主指出后拒不整改的，每次处罚5000～50000元；</w:t>
      </w:r>
    </w:p>
    <w:p>
      <w:pPr>
        <w:autoSpaceDE w:val="0"/>
        <w:autoSpaceDN w:val="0"/>
        <w:adjustRightInd w:val="0"/>
        <w:spacing w:line="400" w:lineRule="exact"/>
        <w:ind w:left="237" w:leftChars="113"/>
        <w:jc w:val="left"/>
        <w:rPr>
          <w:rFonts w:ascii="宋体" w:hAnsi="宋体" w:cs="宋体"/>
          <w:kern w:val="0"/>
          <w:szCs w:val="21"/>
          <w:u w:val="single"/>
        </w:rPr>
      </w:pPr>
      <w:r>
        <w:rPr>
          <w:rFonts w:hint="eastAsia" w:ascii="宋体" w:hAnsi="宋体" w:cs="宋体"/>
          <w:kern w:val="0"/>
          <w:szCs w:val="21"/>
          <w:u w:val="single"/>
        </w:rPr>
        <w:t>⑤承包人的员工在现场发生打架、斗殴、聚众闹事、寻衅滋事的，每次每人处罚1000～10000元；</w:t>
      </w:r>
    </w:p>
    <w:p>
      <w:pPr>
        <w:autoSpaceDE w:val="0"/>
        <w:autoSpaceDN w:val="0"/>
        <w:adjustRightInd w:val="0"/>
        <w:spacing w:line="400" w:lineRule="exact"/>
        <w:ind w:left="237" w:leftChars="113"/>
        <w:jc w:val="left"/>
        <w:rPr>
          <w:rFonts w:ascii="宋体" w:hAnsi="宋体" w:cs="宋体"/>
          <w:kern w:val="0"/>
          <w:szCs w:val="21"/>
          <w:u w:val="single"/>
        </w:rPr>
      </w:pPr>
      <w:r>
        <w:rPr>
          <w:rFonts w:hint="eastAsia" w:ascii="宋体" w:hAnsi="宋体" w:cs="宋体"/>
          <w:kern w:val="0"/>
          <w:szCs w:val="21"/>
          <w:u w:val="single"/>
        </w:rPr>
        <w:t>⑥</w:t>
      </w:r>
      <w:r>
        <w:rPr>
          <w:rFonts w:hint="eastAsia" w:ascii="宋体" w:hAnsi="宋体" w:cs="宋体"/>
          <w:szCs w:val="21"/>
          <w:u w:val="single"/>
        </w:rPr>
        <w:t>承包人员工（含民工）到各级政府、人大、政协及其他行政职能部门和发包人上级主管部分上访、闹事给发包人造成不良影响或后果的</w:t>
      </w:r>
      <w:r>
        <w:rPr>
          <w:rFonts w:hint="eastAsia" w:ascii="宋体" w:hAnsi="宋体" w:cs="宋体"/>
          <w:kern w:val="0"/>
          <w:szCs w:val="21"/>
          <w:u w:val="single"/>
        </w:rPr>
        <w:t>每次每人处罚1000～10000元；</w:t>
      </w:r>
    </w:p>
    <w:p>
      <w:pPr>
        <w:autoSpaceDE w:val="0"/>
        <w:autoSpaceDN w:val="0"/>
        <w:adjustRightInd w:val="0"/>
        <w:spacing w:line="400" w:lineRule="exact"/>
        <w:ind w:left="237" w:leftChars="113"/>
        <w:jc w:val="left"/>
        <w:rPr>
          <w:rFonts w:ascii="宋体" w:hAnsi="宋体" w:cs="宋体"/>
          <w:kern w:val="0"/>
          <w:szCs w:val="21"/>
          <w:u w:val="single"/>
        </w:rPr>
      </w:pPr>
      <w:r>
        <w:rPr>
          <w:rFonts w:hint="eastAsia" w:ascii="宋体" w:hAnsi="宋体" w:cs="宋体"/>
          <w:kern w:val="0"/>
          <w:szCs w:val="21"/>
          <w:u w:val="single"/>
        </w:rPr>
        <w:t>⑦</w:t>
      </w:r>
      <w:r>
        <w:rPr>
          <w:rFonts w:hint="eastAsia" w:ascii="宋体" w:hAnsi="宋体" w:cs="宋体"/>
          <w:szCs w:val="21"/>
          <w:u w:val="single"/>
        </w:rPr>
        <w:t>承包人员工（含民工）无论任何理由“爬塔吊（除机操人员）”拉闸断电、断水、堵工地大门、围攻发包人办公室、殴打发包人管理人员等阻扰正常施工、阻断交通及其它严重扰乱社会公共秩序的行为，给发包人造成不良影响或后果的。</w:t>
      </w:r>
      <w:r>
        <w:rPr>
          <w:rFonts w:hint="eastAsia" w:ascii="宋体" w:hAnsi="宋体" w:cs="宋体"/>
          <w:kern w:val="0"/>
          <w:szCs w:val="21"/>
          <w:u w:val="single"/>
        </w:rPr>
        <w:t>每次每人处罚1000～50000元；</w:t>
      </w:r>
    </w:p>
    <w:p>
      <w:pPr>
        <w:spacing w:line="360" w:lineRule="auto"/>
        <w:jc w:val="left"/>
        <w:rPr>
          <w:rFonts w:ascii="宋体" w:hAnsi="宋体" w:cs="宋体"/>
          <w:kern w:val="0"/>
          <w:szCs w:val="21"/>
          <w:u w:val="single"/>
        </w:rPr>
      </w:pPr>
      <w:r>
        <w:rPr>
          <w:rFonts w:hint="eastAsia" w:ascii="宋体" w:hAnsi="宋体" w:cs="宋体"/>
          <w:kern w:val="0"/>
          <w:szCs w:val="21"/>
          <w:u w:val="single"/>
        </w:rPr>
        <w:t>⑧安全生产违约处罚金的缴纳：承包人的责任发生安全生产违约，发包人确定责任范围后向承包人发出违约处罚通知，承包人在接到处罚通知后3个工作日内向发包人缴纳违约处罚金。承包人未按时缴纳违约处罚金的，发包人在当期应付工程进度款中扣除。</w:t>
      </w:r>
    </w:p>
    <w:p>
      <w:pPr>
        <w:spacing w:line="360" w:lineRule="auto"/>
        <w:jc w:val="left"/>
        <w:rPr>
          <w:rFonts w:ascii="宋体" w:hAnsi="宋体" w:cs="宋体"/>
          <w:szCs w:val="21"/>
        </w:rPr>
      </w:pPr>
      <w:r>
        <w:rPr>
          <w:rFonts w:hint="eastAsia" w:ascii="宋体" w:hAnsi="宋体" w:cs="宋体"/>
          <w:szCs w:val="21"/>
        </w:rPr>
        <w:t>16.2.3 因承包人违约解除合同</w:t>
      </w:r>
    </w:p>
    <w:p>
      <w:pPr>
        <w:spacing w:line="360" w:lineRule="auto"/>
        <w:jc w:val="left"/>
        <w:rPr>
          <w:rFonts w:ascii="宋体" w:hAnsi="宋体" w:cs="宋体"/>
          <w:kern w:val="0"/>
          <w:szCs w:val="21"/>
          <w:u w:val="single"/>
        </w:rPr>
      </w:pPr>
      <w:r>
        <w:rPr>
          <w:rFonts w:hint="eastAsia" w:ascii="宋体" w:hAnsi="宋体" w:cs="宋体"/>
          <w:kern w:val="0"/>
          <w:szCs w:val="21"/>
        </w:rPr>
        <w:t>（1）关于承包人违约解除合同的特别约定：</w:t>
      </w:r>
      <w:r>
        <w:rPr>
          <w:rFonts w:hint="eastAsia" w:ascii="宋体" w:hAnsi="宋体" w:cs="宋体"/>
          <w:kern w:val="0"/>
          <w:szCs w:val="21"/>
          <w:u w:val="single"/>
        </w:rPr>
        <w:t>发包人发出整改通知14天后，承包人仍不纠正违约行为的，发包人可向承包人发出解除合同通知，且履约担保不予退还。合同解除后，发包人可派员进驻施工场地，另行组织人员或委托其他承包人施工。发包人因继续完成该工程的需要，有权扣留使用承包人在现场的材料、设备和临时设施。 但发包人的这一行动不免除承包人应承担的违约责任，也不影响发包人根据合同约定享有的索赔权利。发包人将仅对已完合格工程量的50%支付工程清算价款。</w:t>
      </w:r>
      <w:r>
        <w:rPr>
          <w:rFonts w:hint="eastAsia" w:ascii="宋体" w:hAnsi="宋体" w:cs="宋体"/>
          <w:kern w:val="0"/>
          <w:szCs w:val="21"/>
        </w:rPr>
        <w:t>发包人继续使用承包人在施工现场的材料、设备、临时工程、承包人文件和由承包人或以其名义编制的其他文件的费用承担方式：</w:t>
      </w:r>
      <w:r>
        <w:rPr>
          <w:rFonts w:hint="eastAsia" w:ascii="宋体" w:hAnsi="宋体" w:cs="宋体"/>
          <w:kern w:val="0"/>
          <w:szCs w:val="21"/>
          <w:u w:val="single"/>
        </w:rPr>
        <w:t>由承包人承担</w:t>
      </w:r>
      <w:r>
        <w:rPr>
          <w:rFonts w:hint="eastAsia" w:ascii="宋体" w:hAnsi="宋体" w:cs="宋体"/>
          <w:kern w:val="0"/>
          <w:szCs w:val="21"/>
        </w:rPr>
        <w:t>。</w:t>
      </w:r>
    </w:p>
    <w:p>
      <w:pPr>
        <w:spacing w:line="360" w:lineRule="auto"/>
        <w:jc w:val="left"/>
        <w:rPr>
          <w:rFonts w:ascii="宋体" w:hAnsi="宋体" w:cs="宋体"/>
          <w:szCs w:val="21"/>
          <w:u w:val="single"/>
        </w:rPr>
      </w:pPr>
      <w:r>
        <w:rPr>
          <w:rFonts w:hint="eastAsia" w:ascii="宋体" w:hAnsi="宋体" w:cs="宋体"/>
          <w:szCs w:val="21"/>
          <w:u w:val="single"/>
        </w:rPr>
        <w:t>（2）承包人员工（含民工）到各级政府、人大、政协及其他行政职能部门和发包人上级主管部分上访、闹事，给发包人造成不良影响或后果的。</w:t>
      </w:r>
    </w:p>
    <w:p>
      <w:pPr>
        <w:spacing w:line="460" w:lineRule="exact"/>
        <w:jc w:val="left"/>
        <w:rPr>
          <w:rFonts w:ascii="宋体" w:hAnsi="宋体" w:cs="宋体"/>
          <w:szCs w:val="21"/>
          <w:u w:val="single"/>
        </w:rPr>
      </w:pPr>
      <w:r>
        <w:rPr>
          <w:rFonts w:hint="eastAsia" w:ascii="宋体" w:hAnsi="宋体" w:cs="宋体"/>
          <w:szCs w:val="21"/>
          <w:u w:val="single"/>
        </w:rPr>
        <w:t>（3）承包人员工（含民工）无论任何理由“爬塔吊（除机操人员）”拉闸断电、断水、堵工地大门、围攻发包人办公室、殴打发包人管理人员等阻扰正常施工、阻断交通及其它严重扰乱社会公共秩序的行为，给发包人造成不良影响或后果的。</w:t>
      </w:r>
    </w:p>
    <w:p>
      <w:pPr>
        <w:spacing w:line="360" w:lineRule="auto"/>
        <w:jc w:val="left"/>
        <w:rPr>
          <w:rFonts w:ascii="宋体" w:hAnsi="宋体" w:cs="宋体"/>
          <w:kern w:val="0"/>
          <w:szCs w:val="21"/>
          <w:u w:val="single"/>
        </w:rPr>
      </w:pPr>
      <w:r>
        <w:rPr>
          <w:rFonts w:hint="eastAsia" w:ascii="宋体" w:hAnsi="宋体" w:cs="宋体"/>
          <w:szCs w:val="21"/>
          <w:u w:val="single"/>
        </w:rPr>
        <w:t>（4）承包人拖欠民工工资累计达到10人次或总金额达到10万元的。</w:t>
      </w:r>
    </w:p>
    <w:p>
      <w:pPr>
        <w:spacing w:line="360" w:lineRule="auto"/>
        <w:jc w:val="left"/>
        <w:rPr>
          <w:rFonts w:ascii="宋体" w:hAnsi="宋体" w:cs="宋体"/>
          <w:b/>
          <w:szCs w:val="21"/>
        </w:rPr>
      </w:pPr>
      <w:bookmarkStart w:id="723" w:name="_Toc351203649"/>
      <w:r>
        <w:rPr>
          <w:rFonts w:hint="eastAsia" w:ascii="宋体" w:hAnsi="宋体" w:cs="宋体"/>
          <w:szCs w:val="21"/>
        </w:rPr>
        <w:t>17. 不可抗力</w:t>
      </w:r>
      <w:bookmarkEnd w:id="721"/>
      <w:bookmarkEnd w:id="723"/>
    </w:p>
    <w:p>
      <w:pPr>
        <w:spacing w:line="360" w:lineRule="auto"/>
        <w:jc w:val="left"/>
        <w:rPr>
          <w:rFonts w:ascii="宋体" w:hAnsi="宋体" w:cs="宋体"/>
          <w:szCs w:val="21"/>
        </w:rPr>
      </w:pPr>
      <w:r>
        <w:rPr>
          <w:rFonts w:hint="eastAsia" w:ascii="宋体" w:hAnsi="宋体" w:cs="宋体"/>
          <w:szCs w:val="21"/>
        </w:rPr>
        <w:t>17.1 不可抗力的确认</w:t>
      </w:r>
    </w:p>
    <w:p>
      <w:pPr>
        <w:spacing w:line="360" w:lineRule="auto"/>
        <w:jc w:val="left"/>
        <w:rPr>
          <w:rFonts w:ascii="宋体" w:hAnsi="宋体" w:cs="宋体"/>
          <w:kern w:val="0"/>
          <w:szCs w:val="21"/>
          <w:u w:val="single"/>
        </w:rPr>
      </w:pPr>
      <w:r>
        <w:rPr>
          <w:rFonts w:hint="eastAsia" w:ascii="宋体" w:hAnsi="宋体" w:cs="宋体"/>
          <w:szCs w:val="21"/>
        </w:rPr>
        <w:t xml:space="preserve">除通用合同条款约定的不可抗力事件之外，视为不可抗力的其他情形： </w:t>
      </w:r>
      <w:r>
        <w:rPr>
          <w:rFonts w:hint="eastAsia" w:ascii="宋体" w:hAnsi="宋体" w:cs="宋体"/>
          <w:kern w:val="0"/>
          <w:szCs w:val="21"/>
          <w:u w:val="single"/>
        </w:rPr>
        <w:t>不采用</w:t>
      </w:r>
      <w:r>
        <w:rPr>
          <w:rFonts w:hint="eastAsia" w:ascii="宋体" w:hAnsi="宋体" w:cs="宋体"/>
          <w:kern w:val="0"/>
          <w:szCs w:val="21"/>
        </w:rPr>
        <w:t>。</w:t>
      </w:r>
    </w:p>
    <w:p>
      <w:pPr>
        <w:spacing w:line="360" w:lineRule="auto"/>
        <w:jc w:val="left"/>
        <w:rPr>
          <w:rFonts w:ascii="宋体" w:hAnsi="宋体" w:cs="宋体"/>
          <w:szCs w:val="21"/>
        </w:rPr>
      </w:pPr>
      <w:r>
        <w:rPr>
          <w:rFonts w:hint="eastAsia" w:ascii="宋体" w:hAnsi="宋体" w:cs="宋体"/>
          <w:szCs w:val="21"/>
        </w:rPr>
        <w:t>17.4 因不可抗力解除合同</w:t>
      </w:r>
    </w:p>
    <w:p>
      <w:pPr>
        <w:spacing w:line="360" w:lineRule="auto"/>
        <w:jc w:val="left"/>
        <w:rPr>
          <w:rFonts w:ascii="宋体" w:hAnsi="宋体" w:cs="宋体"/>
          <w:szCs w:val="21"/>
        </w:rPr>
      </w:pPr>
      <w:r>
        <w:rPr>
          <w:rFonts w:hint="eastAsia" w:ascii="宋体" w:hAnsi="宋体" w:cs="宋体"/>
          <w:szCs w:val="21"/>
        </w:rPr>
        <w:t>合同解除后，发包人应在商定或确定发包人应支付款项后</w:t>
      </w:r>
      <w:r>
        <w:rPr>
          <w:rFonts w:hint="eastAsia" w:ascii="宋体" w:hAnsi="宋体" w:cs="宋体"/>
          <w:szCs w:val="21"/>
          <w:u w:val="single"/>
        </w:rPr>
        <w:t xml:space="preserve"> 30</w:t>
      </w:r>
      <w:r>
        <w:rPr>
          <w:rFonts w:hint="eastAsia" w:ascii="宋体" w:hAnsi="宋体" w:cs="宋体"/>
          <w:szCs w:val="21"/>
        </w:rPr>
        <w:t>天内完成款项的支付。</w:t>
      </w:r>
    </w:p>
    <w:p>
      <w:pPr>
        <w:spacing w:line="360" w:lineRule="auto"/>
        <w:jc w:val="left"/>
        <w:rPr>
          <w:rFonts w:ascii="宋体" w:hAnsi="宋体" w:cs="宋体"/>
          <w:b/>
          <w:szCs w:val="21"/>
        </w:rPr>
      </w:pPr>
      <w:bookmarkStart w:id="724" w:name="_Toc351203650"/>
      <w:r>
        <w:rPr>
          <w:rFonts w:hint="eastAsia" w:ascii="宋体" w:hAnsi="宋体" w:cs="宋体"/>
          <w:szCs w:val="21"/>
        </w:rPr>
        <w:t>18. 保险</w:t>
      </w:r>
      <w:bookmarkEnd w:id="724"/>
    </w:p>
    <w:bookmarkEnd w:id="722"/>
    <w:p>
      <w:pPr>
        <w:spacing w:line="360" w:lineRule="auto"/>
        <w:jc w:val="left"/>
        <w:rPr>
          <w:rFonts w:ascii="宋体" w:hAnsi="宋体" w:cs="宋体"/>
          <w:szCs w:val="21"/>
        </w:rPr>
      </w:pPr>
      <w:r>
        <w:rPr>
          <w:rFonts w:hint="eastAsia" w:ascii="宋体" w:hAnsi="宋体" w:cs="宋体"/>
          <w:szCs w:val="21"/>
        </w:rPr>
        <w:t>18.1 工程保险</w:t>
      </w:r>
    </w:p>
    <w:p>
      <w:pPr>
        <w:spacing w:line="360" w:lineRule="auto"/>
        <w:jc w:val="left"/>
        <w:rPr>
          <w:rFonts w:ascii="宋体" w:hAnsi="宋体" w:cs="宋体"/>
          <w:szCs w:val="21"/>
        </w:rPr>
      </w:pPr>
      <w:r>
        <w:rPr>
          <w:rFonts w:hint="eastAsia" w:ascii="宋体" w:hAnsi="宋体" w:cs="宋体"/>
          <w:szCs w:val="21"/>
        </w:rPr>
        <w:t>关于工程保险的特别约定：</w:t>
      </w:r>
      <w:r>
        <w:rPr>
          <w:rFonts w:hint="eastAsia" w:ascii="宋体" w:hAnsi="宋体" w:cs="宋体"/>
          <w:kern w:val="0"/>
          <w:szCs w:val="21"/>
          <w:u w:val="single"/>
        </w:rPr>
        <w:t>发包人应投保建筑工程一切险。</w:t>
      </w:r>
    </w:p>
    <w:p>
      <w:pPr>
        <w:spacing w:line="360" w:lineRule="auto"/>
        <w:jc w:val="left"/>
        <w:rPr>
          <w:rFonts w:ascii="宋体" w:hAnsi="宋体" w:cs="宋体"/>
          <w:szCs w:val="21"/>
        </w:rPr>
      </w:pPr>
      <w:r>
        <w:rPr>
          <w:rFonts w:hint="eastAsia" w:ascii="宋体" w:hAnsi="宋体" w:cs="宋体"/>
          <w:szCs w:val="21"/>
        </w:rPr>
        <w:t>18.3 其他保险</w:t>
      </w:r>
    </w:p>
    <w:p>
      <w:pPr>
        <w:spacing w:line="360" w:lineRule="auto"/>
        <w:jc w:val="left"/>
        <w:rPr>
          <w:rFonts w:ascii="宋体" w:hAnsi="宋体" w:cs="宋体"/>
          <w:kern w:val="0"/>
          <w:szCs w:val="21"/>
        </w:rPr>
      </w:pPr>
      <w:r>
        <w:rPr>
          <w:rFonts w:hint="eastAsia" w:ascii="宋体" w:hAnsi="宋体" w:cs="宋体"/>
          <w:szCs w:val="21"/>
        </w:rPr>
        <w:t>关于其他保险的约定：</w:t>
      </w:r>
      <w:r>
        <w:rPr>
          <w:rFonts w:hint="eastAsia" w:ascii="宋体" w:hAnsi="宋体" w:cs="宋体"/>
          <w:szCs w:val="21"/>
          <w:u w:val="single"/>
        </w:rPr>
        <w:t>承包人应为其施工现场的全部人员办理意外伤害保险并支付保险费，包括其员工及为履行合同聘请的第三方的人员。</w:t>
      </w:r>
    </w:p>
    <w:p>
      <w:pPr>
        <w:spacing w:line="360" w:lineRule="auto"/>
        <w:jc w:val="left"/>
        <w:rPr>
          <w:rFonts w:ascii="宋体" w:hAnsi="宋体" w:cs="宋体"/>
          <w:kern w:val="0"/>
          <w:szCs w:val="21"/>
        </w:rPr>
      </w:pPr>
      <w:r>
        <w:rPr>
          <w:rFonts w:hint="eastAsia" w:ascii="宋体" w:hAnsi="宋体" w:cs="宋体"/>
          <w:szCs w:val="21"/>
        </w:rPr>
        <w:t>承包人是否应为其施工设备等办理财产保险：</w:t>
      </w:r>
      <w:r>
        <w:rPr>
          <w:rFonts w:hint="eastAsia" w:ascii="宋体" w:hAnsi="宋体" w:cs="宋体"/>
          <w:szCs w:val="21"/>
          <w:u w:val="single"/>
        </w:rPr>
        <w:t xml:space="preserve">   是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18.7 通知义务</w:t>
      </w:r>
    </w:p>
    <w:p>
      <w:pPr>
        <w:spacing w:line="360" w:lineRule="auto"/>
        <w:jc w:val="left"/>
        <w:rPr>
          <w:rFonts w:ascii="宋体" w:hAnsi="宋体" w:cs="宋体"/>
          <w:szCs w:val="21"/>
        </w:rPr>
      </w:pPr>
      <w:r>
        <w:rPr>
          <w:rFonts w:hint="eastAsia" w:ascii="宋体" w:hAnsi="宋体" w:cs="宋体"/>
          <w:kern w:val="0"/>
          <w:szCs w:val="21"/>
        </w:rPr>
        <w:t>关于变更保险合同时的通知义务的约定：</w:t>
      </w:r>
      <w:r>
        <w:rPr>
          <w:rFonts w:hint="eastAsia" w:ascii="宋体" w:hAnsi="宋体" w:cs="宋体"/>
          <w:szCs w:val="21"/>
          <w:u w:val="single"/>
        </w:rPr>
        <w:t>发包人变更除工伤保险之外的保险合同时，应事先征得承包人同意，并通知监理人；承包人变更除工伤保险之外的保险合同时，应事先征得发包人同意，并通知监理人。</w:t>
      </w:r>
    </w:p>
    <w:bookmarkEnd w:id="698"/>
    <w:bookmarkEnd w:id="699"/>
    <w:bookmarkEnd w:id="700"/>
    <w:bookmarkEnd w:id="701"/>
    <w:bookmarkEnd w:id="702"/>
    <w:bookmarkEnd w:id="703"/>
    <w:bookmarkEnd w:id="704"/>
    <w:bookmarkEnd w:id="705"/>
    <w:bookmarkEnd w:id="706"/>
    <w:bookmarkEnd w:id="707"/>
    <w:bookmarkEnd w:id="708"/>
    <w:bookmarkEnd w:id="709"/>
    <w:p>
      <w:pPr>
        <w:spacing w:line="360" w:lineRule="auto"/>
        <w:jc w:val="left"/>
        <w:rPr>
          <w:rFonts w:ascii="宋体" w:hAnsi="宋体" w:cs="宋体"/>
          <w:b/>
          <w:szCs w:val="21"/>
        </w:rPr>
      </w:pPr>
      <w:bookmarkStart w:id="725" w:name="_Toc351203651"/>
      <w:r>
        <w:rPr>
          <w:rFonts w:hint="eastAsia" w:ascii="宋体" w:hAnsi="宋体" w:cs="宋体"/>
          <w:szCs w:val="21"/>
        </w:rPr>
        <w:t>20. 争议解决</w:t>
      </w:r>
      <w:bookmarkEnd w:id="725"/>
    </w:p>
    <w:bookmarkEnd w:id="710"/>
    <w:bookmarkEnd w:id="711"/>
    <w:p>
      <w:pPr>
        <w:spacing w:line="360" w:lineRule="auto"/>
        <w:jc w:val="left"/>
        <w:rPr>
          <w:rFonts w:ascii="宋体" w:hAnsi="宋体" w:cs="宋体"/>
          <w:szCs w:val="21"/>
        </w:rPr>
      </w:pPr>
      <w:r>
        <w:rPr>
          <w:rFonts w:hint="eastAsia" w:ascii="宋体" w:hAnsi="宋体" w:cs="宋体"/>
          <w:szCs w:val="21"/>
        </w:rPr>
        <w:t>20.3 争</w:t>
      </w:r>
      <w:bookmarkEnd w:id="712"/>
      <w:r>
        <w:rPr>
          <w:rFonts w:hint="eastAsia" w:ascii="宋体" w:hAnsi="宋体" w:cs="宋体"/>
          <w:szCs w:val="21"/>
        </w:rPr>
        <w:t>议评审</w:t>
      </w:r>
    </w:p>
    <w:p>
      <w:pPr>
        <w:spacing w:line="360" w:lineRule="auto"/>
        <w:jc w:val="left"/>
        <w:rPr>
          <w:rFonts w:ascii="宋体" w:hAnsi="宋体" w:cs="宋体"/>
          <w:szCs w:val="21"/>
        </w:rPr>
      </w:pPr>
      <w:r>
        <w:rPr>
          <w:rFonts w:hint="eastAsia" w:ascii="宋体" w:hAnsi="宋体" w:cs="宋体"/>
          <w:szCs w:val="21"/>
        </w:rPr>
        <w:t>合同当事人是否同意将工程争议提交争议评审小组决定：</w:t>
      </w:r>
      <w:r>
        <w:rPr>
          <w:rFonts w:hint="eastAsia" w:ascii="宋体" w:hAnsi="宋体" w:cs="宋体"/>
          <w:szCs w:val="21"/>
          <w:u w:val="single"/>
        </w:rPr>
        <w:t xml:space="preserve">   否    </w:t>
      </w:r>
      <w:r>
        <w:rPr>
          <w:rFonts w:hint="eastAsia" w:ascii="宋体" w:hAnsi="宋体" w:cs="宋体"/>
          <w:szCs w:val="21"/>
        </w:rPr>
        <w:t xml:space="preserve">。  </w:t>
      </w:r>
    </w:p>
    <w:p>
      <w:pPr>
        <w:spacing w:line="360" w:lineRule="auto"/>
        <w:jc w:val="left"/>
        <w:rPr>
          <w:rFonts w:ascii="宋体" w:hAnsi="宋体" w:cs="宋体"/>
          <w:szCs w:val="21"/>
        </w:rPr>
      </w:pPr>
      <w:r>
        <w:rPr>
          <w:rFonts w:hint="eastAsia" w:ascii="宋体" w:hAnsi="宋体" w:cs="宋体"/>
          <w:szCs w:val="21"/>
        </w:rPr>
        <w:t>20.3.1 争议评审小组的确定</w:t>
      </w:r>
    </w:p>
    <w:p>
      <w:pPr>
        <w:spacing w:line="360" w:lineRule="auto"/>
        <w:jc w:val="left"/>
        <w:rPr>
          <w:rFonts w:ascii="宋体" w:hAnsi="宋体" w:cs="宋体"/>
          <w:szCs w:val="21"/>
          <w:u w:val="single"/>
        </w:rPr>
      </w:pPr>
      <w:r>
        <w:rPr>
          <w:rFonts w:hint="eastAsia" w:ascii="宋体" w:hAnsi="宋体" w:cs="宋体"/>
          <w:szCs w:val="21"/>
        </w:rPr>
        <w:t>争议评审小组成员的确定：</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选定争议评审员的期限：</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争议评审小组成员的报酬承担方式：</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其他事项的约定：</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kern w:val="0"/>
          <w:szCs w:val="21"/>
        </w:rPr>
      </w:pPr>
      <w:r>
        <w:rPr>
          <w:rFonts w:hint="eastAsia" w:ascii="宋体" w:hAnsi="宋体" w:cs="宋体"/>
          <w:kern w:val="0"/>
          <w:szCs w:val="21"/>
        </w:rPr>
        <w:t>20.3.2 争议评审小组的决定</w:t>
      </w:r>
    </w:p>
    <w:p>
      <w:pPr>
        <w:spacing w:line="360" w:lineRule="auto"/>
        <w:jc w:val="left"/>
        <w:rPr>
          <w:rFonts w:ascii="宋体" w:hAnsi="宋体" w:cs="宋体"/>
          <w:szCs w:val="21"/>
        </w:rPr>
      </w:pPr>
      <w:r>
        <w:rPr>
          <w:rFonts w:hint="eastAsia" w:ascii="宋体" w:hAnsi="宋体" w:cs="宋体"/>
          <w:szCs w:val="21"/>
        </w:rPr>
        <w:t>合同当事人关于本项的约定：</w:t>
      </w:r>
      <w:r>
        <w:rPr>
          <w:rFonts w:hint="eastAsia" w:ascii="宋体" w:hAnsi="宋体" w:cs="宋体"/>
          <w:szCs w:val="21"/>
          <w:u w:val="single"/>
        </w:rPr>
        <w:t xml:space="preserve">      不采用       </w:t>
      </w:r>
      <w:r>
        <w:rPr>
          <w:rFonts w:hint="eastAsia" w:ascii="宋体" w:hAnsi="宋体" w:cs="宋体"/>
          <w:szCs w:val="21"/>
        </w:rPr>
        <w:t>。</w:t>
      </w:r>
    </w:p>
    <w:p>
      <w:pPr>
        <w:spacing w:line="360" w:lineRule="auto"/>
        <w:jc w:val="left"/>
        <w:rPr>
          <w:rFonts w:ascii="宋体" w:hAnsi="宋体" w:cs="宋体"/>
          <w:szCs w:val="21"/>
        </w:rPr>
      </w:pPr>
      <w:r>
        <w:rPr>
          <w:rFonts w:hint="eastAsia" w:ascii="宋体" w:hAnsi="宋体" w:cs="宋体"/>
          <w:szCs w:val="21"/>
        </w:rPr>
        <w:t>20.4仲裁或诉讼</w:t>
      </w:r>
      <w:bookmarkEnd w:id="713"/>
    </w:p>
    <w:p>
      <w:pPr>
        <w:spacing w:line="360" w:lineRule="auto"/>
        <w:jc w:val="left"/>
        <w:rPr>
          <w:rFonts w:ascii="宋体" w:hAnsi="宋体" w:cs="宋体"/>
          <w:szCs w:val="21"/>
        </w:rPr>
      </w:pPr>
      <w:r>
        <w:rPr>
          <w:rFonts w:hint="eastAsia" w:ascii="宋体" w:hAnsi="宋体" w:cs="宋体"/>
          <w:szCs w:val="21"/>
        </w:rPr>
        <w:t>因合同及合同有关事项发生的争议，按下列第</w:t>
      </w:r>
      <w:r>
        <w:rPr>
          <w:rFonts w:hint="eastAsia" w:ascii="宋体" w:hAnsi="宋体" w:cs="宋体"/>
          <w:szCs w:val="21"/>
          <w:u w:val="single"/>
        </w:rPr>
        <w:t xml:space="preserve">   2  </w:t>
      </w:r>
      <w:r>
        <w:rPr>
          <w:rFonts w:hint="eastAsia" w:ascii="宋体" w:hAnsi="宋体" w:cs="宋体"/>
          <w:szCs w:val="21"/>
        </w:rPr>
        <w:t>种方式解决：</w:t>
      </w:r>
    </w:p>
    <w:p>
      <w:pPr>
        <w:spacing w:line="360" w:lineRule="auto"/>
        <w:jc w:val="left"/>
        <w:rPr>
          <w:rFonts w:ascii="宋体" w:hAnsi="宋体" w:cs="宋体"/>
          <w:szCs w:val="21"/>
        </w:rPr>
      </w:pPr>
      <w:r>
        <w:rPr>
          <w:rFonts w:hint="eastAsia" w:ascii="宋体" w:hAnsi="宋体" w:cs="宋体"/>
          <w:szCs w:val="21"/>
        </w:rPr>
        <w:t>（1）向</w:t>
      </w:r>
      <w:r>
        <w:rPr>
          <w:rFonts w:hint="eastAsia" w:ascii="宋体" w:hAnsi="宋体" w:cs="宋体"/>
          <w:szCs w:val="21"/>
          <w:u w:val="single"/>
        </w:rPr>
        <w:t xml:space="preserve">  工程所在地 </w:t>
      </w:r>
      <w:r>
        <w:rPr>
          <w:rFonts w:hint="eastAsia" w:ascii="宋体" w:hAnsi="宋体" w:cs="宋体"/>
          <w:szCs w:val="21"/>
        </w:rPr>
        <w:t>人民法院起诉。</w:t>
      </w:r>
      <w:bookmarkEnd w:id="714"/>
      <w:bookmarkEnd w:id="715"/>
      <w:bookmarkEnd w:id="716"/>
      <w:bookmarkEnd w:id="717"/>
      <w:bookmarkEnd w:id="718"/>
      <w:bookmarkEnd w:id="719"/>
    </w:p>
    <w:p>
      <w:pPr>
        <w:spacing w:line="360" w:lineRule="auto"/>
        <w:jc w:val="left"/>
        <w:rPr>
          <w:rFonts w:ascii="宋体" w:hAnsi="宋体" w:cs="宋体"/>
          <w:szCs w:val="21"/>
        </w:rPr>
      </w:pPr>
      <w:r>
        <w:rPr>
          <w:rFonts w:hint="eastAsia" w:ascii="宋体" w:hAnsi="宋体" w:cs="宋体"/>
          <w:szCs w:val="21"/>
        </w:rPr>
        <w:t>21.</w:t>
      </w:r>
      <w:r>
        <w:rPr>
          <w:rFonts w:hint="eastAsia" w:ascii="宋体" w:hAnsi="宋体" w:cs="宋体"/>
          <w:snapToGrid w:val="0"/>
          <w:szCs w:val="21"/>
        </w:rPr>
        <w:t>补充条款</w:t>
      </w:r>
    </w:p>
    <w:p>
      <w:pPr>
        <w:spacing w:line="360" w:lineRule="auto"/>
        <w:jc w:val="left"/>
        <w:rPr>
          <w:rFonts w:ascii="宋体" w:hAnsi="宋体" w:cs="宋体"/>
          <w:kern w:val="0"/>
          <w:szCs w:val="21"/>
        </w:rPr>
      </w:pPr>
      <w:r>
        <w:rPr>
          <w:rFonts w:hint="eastAsia" w:ascii="宋体" w:hAnsi="宋体" w:cs="宋体"/>
          <w:kern w:val="0"/>
          <w:szCs w:val="21"/>
        </w:rPr>
        <w:t>21.1完工资料提交时间要求</w:t>
      </w:r>
    </w:p>
    <w:p>
      <w:pPr>
        <w:pStyle w:val="3"/>
        <w:keepNext w:val="0"/>
        <w:keepLines w:val="0"/>
        <w:spacing w:line="360" w:lineRule="auto"/>
        <w:rPr>
          <w:rFonts w:ascii="宋体" w:hAnsi="宋体" w:cs="宋体"/>
          <w:b w:val="0"/>
          <w:bCs w:val="0"/>
          <w:kern w:val="0"/>
          <w:sz w:val="21"/>
          <w:szCs w:val="21"/>
        </w:rPr>
        <w:sectPr>
          <w:pgSz w:w="11906" w:h="16838"/>
          <w:pgMar w:top="1418" w:right="1555" w:bottom="1418" w:left="1531" w:header="851" w:footer="992" w:gutter="0"/>
          <w:cols w:space="720" w:num="1"/>
          <w:docGrid w:type="lines" w:linePitch="312" w:charSpace="0"/>
        </w:sectPr>
      </w:pPr>
      <w:r>
        <w:rPr>
          <w:rFonts w:hint="eastAsia" w:ascii="宋体" w:hAnsi="宋体" w:cs="宋体"/>
          <w:b w:val="0"/>
          <w:bCs w:val="0"/>
          <w:kern w:val="0"/>
          <w:sz w:val="21"/>
          <w:szCs w:val="21"/>
        </w:rPr>
        <w:t>（1）承包人在工程交工验收完成后15天内将竣工资料报送发包人审核。</w:t>
      </w:r>
    </w:p>
    <w:p>
      <w:pPr>
        <w:spacing w:line="360" w:lineRule="auto"/>
        <w:jc w:val="left"/>
        <w:rPr>
          <w:rFonts w:ascii="宋体" w:hAnsi="宋体" w:cs="宋体"/>
          <w:szCs w:val="21"/>
        </w:rPr>
      </w:pPr>
      <w:bookmarkStart w:id="726" w:name="_Toc321436124"/>
      <w:r>
        <w:rPr>
          <w:rFonts w:hint="eastAsia" w:ascii="宋体" w:hAnsi="宋体" w:cs="宋体"/>
          <w:szCs w:val="21"/>
        </w:rPr>
        <w:t>附件：</w:t>
      </w:r>
    </w:p>
    <w:p>
      <w:pPr>
        <w:spacing w:line="360" w:lineRule="auto"/>
        <w:jc w:val="left"/>
        <w:rPr>
          <w:rFonts w:ascii="宋体" w:hAnsi="宋体" w:cs="宋体"/>
          <w:szCs w:val="21"/>
        </w:rPr>
      </w:pPr>
      <w:r>
        <w:rPr>
          <w:rFonts w:hint="eastAsia" w:ascii="宋体" w:hAnsi="宋体" w:cs="宋体"/>
          <w:szCs w:val="21"/>
        </w:rPr>
        <w:t>附件1：工程签证管理办法</w:t>
      </w:r>
    </w:p>
    <w:p>
      <w:pPr>
        <w:spacing w:line="360" w:lineRule="auto"/>
        <w:jc w:val="left"/>
        <w:rPr>
          <w:rFonts w:ascii="宋体" w:hAnsi="宋体" w:cs="宋体"/>
          <w:szCs w:val="21"/>
        </w:rPr>
      </w:pPr>
      <w:r>
        <w:rPr>
          <w:rFonts w:hint="eastAsia" w:ascii="宋体" w:hAnsi="宋体" w:cs="宋体"/>
          <w:szCs w:val="21"/>
        </w:rPr>
        <w:t>附件2：施工图纸（另册装订）</w:t>
      </w:r>
    </w:p>
    <w:p>
      <w:pPr>
        <w:spacing w:line="360" w:lineRule="auto"/>
        <w:jc w:val="left"/>
        <w:rPr>
          <w:rFonts w:ascii="宋体" w:hAnsi="宋体" w:cs="宋体"/>
          <w:szCs w:val="21"/>
        </w:rPr>
      </w:pPr>
      <w:r>
        <w:rPr>
          <w:rFonts w:hint="eastAsia" w:ascii="宋体" w:hAnsi="宋体" w:cs="宋体"/>
          <w:szCs w:val="21"/>
        </w:rPr>
        <w:t>附件3：工程技术和质量要求</w:t>
      </w:r>
    </w:p>
    <w:p>
      <w:pPr>
        <w:spacing w:before="156" w:beforeLines="50" w:after="156" w:afterLines="50"/>
        <w:rPr>
          <w:rFonts w:ascii="宋体" w:hAnsi="宋体" w:cs="宋体"/>
          <w:szCs w:val="21"/>
        </w:rPr>
      </w:pPr>
      <w:r>
        <w:rPr>
          <w:rFonts w:hint="eastAsia" w:ascii="宋体" w:hAnsi="宋体" w:cs="宋体"/>
          <w:szCs w:val="21"/>
        </w:rPr>
        <w:t>附件4：履约保函格式</w:t>
      </w:r>
    </w:p>
    <w:p>
      <w:pPr>
        <w:spacing w:line="360" w:lineRule="auto"/>
        <w:jc w:val="left"/>
        <w:rPr>
          <w:rFonts w:ascii="宋体" w:hAnsi="宋体" w:cs="宋体"/>
          <w:szCs w:val="21"/>
        </w:rPr>
      </w:pPr>
      <w:r>
        <w:rPr>
          <w:rFonts w:hint="eastAsia" w:ascii="宋体" w:hAnsi="宋体" w:cs="宋体"/>
          <w:szCs w:val="21"/>
        </w:rPr>
        <w:t>附件5：工程质量保修书</w:t>
      </w:r>
    </w:p>
    <w:p>
      <w:pPr>
        <w:spacing w:line="360" w:lineRule="auto"/>
        <w:jc w:val="left"/>
        <w:rPr>
          <w:rFonts w:ascii="宋体" w:hAnsi="宋体" w:cs="宋体"/>
          <w:szCs w:val="21"/>
        </w:rPr>
      </w:pPr>
      <w:r>
        <w:rPr>
          <w:rFonts w:hint="eastAsia" w:ascii="宋体" w:hAnsi="宋体" w:cs="宋体"/>
          <w:szCs w:val="21"/>
        </w:rPr>
        <w:t>附件6：廉政协议</w:t>
      </w:r>
    </w:p>
    <w:p>
      <w:pPr>
        <w:spacing w:line="360" w:lineRule="auto"/>
        <w:jc w:val="left"/>
        <w:rPr>
          <w:rFonts w:ascii="宋体" w:hAnsi="宋体" w:cs="宋体"/>
          <w:szCs w:val="21"/>
        </w:rPr>
      </w:pPr>
      <w:r>
        <w:rPr>
          <w:rFonts w:hint="eastAsia" w:ascii="宋体" w:hAnsi="宋体" w:cs="宋体"/>
          <w:szCs w:val="21"/>
        </w:rPr>
        <w:t>附件7：安全生产协议书</w:t>
      </w:r>
    </w:p>
    <w:p>
      <w:pPr>
        <w:spacing w:line="360" w:lineRule="auto"/>
        <w:jc w:val="left"/>
        <w:rPr>
          <w:rFonts w:ascii="宋体" w:hAnsi="宋体" w:cs="宋体"/>
          <w:szCs w:val="21"/>
        </w:rPr>
      </w:pPr>
      <w:r>
        <w:rPr>
          <w:rFonts w:hint="eastAsia" w:ascii="宋体" w:hAnsi="宋体" w:cs="宋体"/>
          <w:szCs w:val="21"/>
        </w:rPr>
        <w:t>附件8：工程项目档案管理协议</w:t>
      </w:r>
    </w:p>
    <w:p>
      <w:pPr>
        <w:spacing w:line="360" w:lineRule="auto"/>
        <w:jc w:val="left"/>
        <w:rPr>
          <w:rFonts w:ascii="宋体" w:hAnsi="宋体" w:cs="宋体"/>
          <w:szCs w:val="21"/>
        </w:rPr>
      </w:pPr>
      <w:r>
        <w:rPr>
          <w:rFonts w:hint="eastAsia" w:ascii="宋体" w:hAnsi="宋体" w:cs="宋体"/>
          <w:szCs w:val="21"/>
        </w:rPr>
        <w:t>附件9：乙方总包管理班子主要人员名单</w:t>
      </w:r>
    </w:p>
    <w:p>
      <w:pPr>
        <w:spacing w:line="360" w:lineRule="auto"/>
        <w:jc w:val="left"/>
        <w:rPr>
          <w:rFonts w:ascii="宋体" w:hAnsi="宋体" w:cs="宋体"/>
          <w:szCs w:val="21"/>
        </w:rPr>
      </w:pPr>
      <w:r>
        <w:rPr>
          <w:rFonts w:hint="eastAsia" w:ascii="宋体" w:hAnsi="宋体" w:cs="宋体"/>
          <w:szCs w:val="21"/>
        </w:rPr>
        <w:t>附件10：乙方单位资料</w:t>
      </w:r>
    </w:p>
    <w:p>
      <w:pPr>
        <w:spacing w:line="360" w:lineRule="auto"/>
        <w:ind w:firstLine="525" w:firstLineChars="250"/>
        <w:jc w:val="left"/>
        <w:rPr>
          <w:rFonts w:ascii="宋体" w:hAnsi="宋体" w:cs="宋体"/>
          <w:szCs w:val="21"/>
        </w:rPr>
      </w:pPr>
      <w:r>
        <w:rPr>
          <w:rFonts w:hint="eastAsia" w:ascii="宋体" w:hAnsi="宋体" w:cs="宋体"/>
          <w:szCs w:val="21"/>
        </w:rPr>
        <w:t>乙方（联合体成员）单位营业执照复印件、资质证书复印件、安全生产许可证复印件、签订合同人的授权委托书及身份证复印件（如法人签订合同，附法人身份证明）、银行开户许可证。</w:t>
      </w:r>
    </w:p>
    <w:p>
      <w:pPr>
        <w:spacing w:line="360" w:lineRule="auto"/>
        <w:ind w:left="735" w:hanging="735" w:hangingChars="350"/>
        <w:jc w:val="left"/>
        <w:rPr>
          <w:rFonts w:ascii="宋体" w:hAnsi="宋体" w:cs="宋体"/>
          <w:szCs w:val="21"/>
        </w:rPr>
      </w:pPr>
      <w:r>
        <w:rPr>
          <w:rFonts w:hint="eastAsia" w:ascii="宋体" w:hAnsi="宋体" w:cs="宋体"/>
          <w:szCs w:val="21"/>
        </w:rPr>
        <w:t>附件11：其他（商务谈判等）</w:t>
      </w:r>
    </w:p>
    <w:p>
      <w:pPr>
        <w:spacing w:line="360" w:lineRule="auto"/>
        <w:jc w:val="left"/>
        <w:rPr>
          <w:rFonts w:ascii="宋体" w:hAnsi="宋体" w:cs="宋体"/>
          <w:szCs w:val="21"/>
        </w:rPr>
      </w:pPr>
      <w:r>
        <w:rPr>
          <w:rFonts w:hint="eastAsia" w:ascii="宋体" w:hAnsi="宋体" w:cs="宋体"/>
          <w:szCs w:val="21"/>
        </w:rPr>
        <w:t>附件12：乙方投标报价书</w:t>
      </w:r>
    </w:p>
    <w:p>
      <w:pPr>
        <w:spacing w:line="360" w:lineRule="auto"/>
        <w:jc w:val="left"/>
        <w:rPr>
          <w:rFonts w:ascii="宋体" w:hAnsi="宋体" w:cs="宋体"/>
          <w:szCs w:val="21"/>
        </w:rPr>
      </w:pPr>
      <w:r>
        <w:rPr>
          <w:rFonts w:hint="eastAsia" w:ascii="宋体" w:hAnsi="宋体" w:cs="宋体"/>
          <w:szCs w:val="21"/>
        </w:rPr>
        <w:t>独立附件：</w:t>
      </w:r>
      <w:r>
        <w:rPr>
          <w:rFonts w:ascii="宋体" w:hAnsi="宋体" w:cs="宋体"/>
          <w:szCs w:val="21"/>
        </w:rPr>
        <w:t xml:space="preserve"> </w:t>
      </w:r>
    </w:p>
    <w:p>
      <w:pPr>
        <w:spacing w:line="360" w:lineRule="auto"/>
        <w:jc w:val="left"/>
        <w:rPr>
          <w:rFonts w:ascii="宋体" w:hAnsi="宋体" w:cs="宋体"/>
          <w:szCs w:val="21"/>
        </w:rPr>
      </w:pPr>
      <w:r>
        <w:rPr>
          <w:rFonts w:hint="eastAsia" w:ascii="宋体" w:hAnsi="宋体" w:cs="宋体"/>
          <w:szCs w:val="21"/>
        </w:rPr>
        <w:t xml:space="preserve">    以上附件为本合同不可分割的组成部分，如附件内容与本合同正文内容不一致的，双方同意以本合同正文内容为准（《工程质量保修书》除外）。</w:t>
      </w:r>
    </w:p>
    <w:p>
      <w:pPr>
        <w:spacing w:line="360" w:lineRule="auto"/>
        <w:jc w:val="left"/>
        <w:rPr>
          <w:rFonts w:ascii="宋体" w:hAnsi="宋体" w:cs="宋体"/>
          <w:szCs w:val="21"/>
        </w:rPr>
      </w:pPr>
    </w:p>
    <w:p>
      <w:pPr>
        <w:spacing w:line="360" w:lineRule="auto"/>
        <w:rPr>
          <w:rFonts w:ascii="宋体" w:hAnsi="宋体" w:cs="宋体"/>
          <w:szCs w:val="21"/>
        </w:rPr>
      </w:pPr>
      <w:r>
        <w:rPr>
          <w:rFonts w:hint="eastAsia" w:ascii="宋体" w:hAnsi="宋体" w:cs="宋体"/>
          <w:szCs w:val="21"/>
        </w:rPr>
        <w:t>发包人（甲方）：(公章)                       承包人（乙方）：(公章)</w:t>
      </w:r>
    </w:p>
    <w:p>
      <w:pPr>
        <w:spacing w:line="360" w:lineRule="auto"/>
        <w:rPr>
          <w:rFonts w:ascii="宋体" w:hAnsi="宋体" w:cs="宋体"/>
          <w:szCs w:val="21"/>
        </w:rPr>
      </w:pPr>
      <w:r>
        <w:rPr>
          <w:rFonts w:hint="eastAsia" w:ascii="宋体" w:hAnsi="宋体" w:cs="宋体"/>
          <w:szCs w:val="21"/>
        </w:rPr>
        <w:t>法定代表人或其委托代理人：                  法定代表人或其委托代理人：</w:t>
      </w:r>
    </w:p>
    <w:p>
      <w:pPr>
        <w:spacing w:line="360" w:lineRule="auto"/>
        <w:jc w:val="left"/>
        <w:rPr>
          <w:rFonts w:ascii="宋体" w:hAnsi="宋体" w:cs="宋体"/>
          <w:szCs w:val="21"/>
        </w:rPr>
      </w:pPr>
      <w:r>
        <w:rPr>
          <w:rFonts w:hint="eastAsia" w:ascii="宋体" w:hAnsi="宋体" w:cs="宋体"/>
          <w:szCs w:val="21"/>
        </w:rPr>
        <w:t>（签字）                                    （签字）</w:t>
      </w:r>
    </w:p>
    <w:p>
      <w:pPr>
        <w:spacing w:line="360" w:lineRule="auto"/>
        <w:rPr>
          <w:rFonts w:ascii="宋体" w:hAnsi="宋体" w:cs="宋体"/>
          <w:szCs w:val="21"/>
        </w:rPr>
      </w:pPr>
      <w:r>
        <w:rPr>
          <w:rFonts w:hint="eastAsia" w:ascii="宋体" w:hAnsi="宋体" w:cs="宋体"/>
          <w:szCs w:val="21"/>
        </w:rPr>
        <w:t xml:space="preserve">地  址： 重庆市九龙坡区渝州路17号          地  址：    </w:t>
      </w:r>
    </w:p>
    <w:p>
      <w:pPr>
        <w:spacing w:line="360" w:lineRule="auto"/>
        <w:rPr>
          <w:rFonts w:ascii="宋体" w:hAnsi="宋体" w:cs="宋体"/>
          <w:szCs w:val="21"/>
        </w:rPr>
      </w:pPr>
      <w:r>
        <w:rPr>
          <w:rFonts w:hint="eastAsia" w:ascii="宋体" w:hAnsi="宋体" w:cs="宋体"/>
          <w:szCs w:val="21"/>
        </w:rPr>
        <w:t xml:space="preserve">电  话：                                    电  话：     </w:t>
      </w:r>
    </w:p>
    <w:p>
      <w:pPr>
        <w:spacing w:line="360" w:lineRule="auto"/>
        <w:rPr>
          <w:rFonts w:ascii="宋体" w:hAnsi="宋体" w:cs="宋体"/>
          <w:szCs w:val="21"/>
        </w:rPr>
      </w:pPr>
      <w:r>
        <w:rPr>
          <w:rFonts w:hint="eastAsia" w:ascii="宋体" w:hAnsi="宋体" w:cs="宋体"/>
          <w:szCs w:val="21"/>
        </w:rPr>
        <w:t xml:space="preserve">传  真：023-68610695                       传  真：     </w:t>
      </w:r>
    </w:p>
    <w:p>
      <w:pPr>
        <w:spacing w:line="360" w:lineRule="auto"/>
        <w:rPr>
          <w:rFonts w:ascii="宋体" w:hAnsi="宋体" w:cs="宋体"/>
          <w:szCs w:val="21"/>
        </w:rPr>
      </w:pPr>
      <w:r>
        <w:rPr>
          <w:rFonts w:hint="eastAsia" w:ascii="宋体" w:hAnsi="宋体" w:cs="宋体"/>
          <w:szCs w:val="21"/>
        </w:rPr>
        <w:t xml:space="preserve">开户银行：中国建设银行股份有限公司          开户银行： </w:t>
      </w:r>
    </w:p>
    <w:p>
      <w:pPr>
        <w:spacing w:line="360" w:lineRule="auto"/>
        <w:rPr>
          <w:rFonts w:ascii="宋体" w:hAnsi="宋体" w:cs="宋体"/>
          <w:szCs w:val="21"/>
        </w:rPr>
      </w:pPr>
      <w:r>
        <w:rPr>
          <w:rFonts w:hint="eastAsia" w:ascii="宋体" w:hAnsi="宋体" w:cs="宋体"/>
          <w:szCs w:val="21"/>
        </w:rPr>
        <w:t xml:space="preserve">          重庆九龙坡石桥铺支行     </w:t>
      </w:r>
    </w:p>
    <w:p>
      <w:pPr>
        <w:spacing w:line="360" w:lineRule="auto"/>
        <w:rPr>
          <w:rFonts w:ascii="宋体" w:hAnsi="宋体" w:cs="宋体"/>
        </w:rPr>
        <w:sectPr>
          <w:pgSz w:w="11906" w:h="16838"/>
          <w:pgMar w:top="1418" w:right="1555" w:bottom="1418" w:left="1531" w:header="851" w:footer="992" w:gutter="0"/>
          <w:cols w:space="720" w:num="1"/>
          <w:docGrid w:type="lines" w:linePitch="312" w:charSpace="0"/>
        </w:sectPr>
      </w:pPr>
      <w:r>
        <w:rPr>
          <w:rFonts w:hint="eastAsia" w:ascii="宋体" w:hAnsi="宋体" w:cs="宋体"/>
          <w:szCs w:val="21"/>
        </w:rPr>
        <w:t xml:space="preserve">账  号：50001045000059888888                账  号：    </w:t>
      </w:r>
    </w:p>
    <w:bookmarkEnd w:id="240"/>
    <w:bookmarkEnd w:id="241"/>
    <w:bookmarkEnd w:id="726"/>
    <w:p>
      <w:pPr>
        <w:pStyle w:val="162"/>
        <w:ind w:left="0" w:right="720"/>
        <w:rPr>
          <w:rFonts w:ascii="宋体" w:hAnsi="宋体" w:cs="宋体"/>
          <w:b/>
          <w:sz w:val="28"/>
          <w:szCs w:val="28"/>
        </w:rPr>
      </w:pPr>
      <w:r>
        <w:rPr>
          <w:rFonts w:hint="eastAsia" w:ascii="宋体" w:hAnsi="宋体" w:cs="宋体"/>
          <w:b/>
          <w:bCs/>
          <w:sz w:val="28"/>
          <w:szCs w:val="28"/>
        </w:rPr>
        <w:t xml:space="preserve">附件1  </w:t>
      </w:r>
      <w:r>
        <w:rPr>
          <w:rFonts w:hint="eastAsia" w:ascii="宋体" w:hAnsi="宋体" w:cs="宋体"/>
          <w:b/>
          <w:sz w:val="28"/>
          <w:szCs w:val="28"/>
        </w:rPr>
        <w:t>工程签证管理办法</w:t>
      </w:r>
    </w:p>
    <w:p>
      <w:pPr>
        <w:pStyle w:val="162"/>
        <w:ind w:left="0" w:right="720"/>
        <w:rPr>
          <w:rFonts w:ascii="宋体" w:hAnsi="宋体" w:cs="宋体"/>
          <w:b/>
          <w:bCs/>
          <w:sz w:val="28"/>
          <w:szCs w:val="28"/>
        </w:rPr>
      </w:pPr>
    </w:p>
    <w:p>
      <w:pPr>
        <w:spacing w:line="360" w:lineRule="auto"/>
        <w:rPr>
          <w:rFonts w:ascii="宋体" w:hAnsi="宋体" w:cs="宋体"/>
          <w:b/>
          <w:bCs/>
          <w:kern w:val="0"/>
          <w:sz w:val="28"/>
          <w:szCs w:val="28"/>
        </w:rPr>
      </w:pPr>
      <w:r>
        <w:rPr>
          <w:rFonts w:hint="eastAsia" w:ascii="宋体" w:hAnsi="宋体" w:cs="宋体"/>
          <w:b/>
          <w:bCs/>
          <w:kern w:val="0"/>
          <w:sz w:val="28"/>
          <w:szCs w:val="28"/>
        </w:rPr>
        <w:t>附件2 施工图纸（另册装订）</w:t>
      </w:r>
    </w:p>
    <w:p>
      <w:pPr>
        <w:spacing w:line="360" w:lineRule="auto"/>
        <w:rPr>
          <w:rFonts w:ascii="宋体" w:hAnsi="宋体" w:cs="宋体"/>
          <w:b/>
          <w:bCs/>
          <w:kern w:val="0"/>
          <w:sz w:val="28"/>
          <w:szCs w:val="28"/>
        </w:rPr>
      </w:pPr>
    </w:p>
    <w:p>
      <w:pPr>
        <w:spacing w:line="360" w:lineRule="auto"/>
        <w:rPr>
          <w:rFonts w:ascii="宋体" w:hAnsi="宋体" w:cs="宋体"/>
          <w:b/>
          <w:bCs/>
          <w:kern w:val="0"/>
          <w:sz w:val="28"/>
          <w:szCs w:val="28"/>
        </w:rPr>
      </w:pPr>
      <w:r>
        <w:rPr>
          <w:rFonts w:hint="eastAsia" w:ascii="宋体" w:hAnsi="宋体" w:cs="宋体"/>
          <w:b/>
          <w:bCs/>
          <w:kern w:val="0"/>
          <w:sz w:val="28"/>
          <w:szCs w:val="28"/>
        </w:rPr>
        <w:t>附件3 工程技术和质量要求</w:t>
      </w: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sectPr>
          <w:pgSz w:w="11906" w:h="16838"/>
          <w:pgMar w:top="1418" w:right="1555" w:bottom="1418" w:left="1531" w:header="851" w:footer="992" w:gutter="0"/>
          <w:cols w:space="720" w:num="1"/>
          <w:docGrid w:type="lines" w:linePitch="312" w:charSpace="0"/>
        </w:sectPr>
      </w:pPr>
    </w:p>
    <w:p>
      <w:pPr>
        <w:spacing w:line="360" w:lineRule="auto"/>
        <w:jc w:val="left"/>
        <w:rPr>
          <w:rFonts w:ascii="宋体" w:hAnsi="宋体" w:cs="宋体"/>
          <w:b/>
          <w:bCs/>
          <w:sz w:val="28"/>
          <w:szCs w:val="28"/>
        </w:rPr>
      </w:pPr>
      <w:r>
        <w:rPr>
          <w:rFonts w:hint="eastAsia" w:ascii="宋体" w:hAnsi="宋体" w:cs="宋体"/>
          <w:b/>
          <w:bCs/>
          <w:sz w:val="28"/>
          <w:szCs w:val="28"/>
        </w:rPr>
        <w:t xml:space="preserve">附件4：    </w:t>
      </w:r>
    </w:p>
    <w:p>
      <w:pPr>
        <w:jc w:val="center"/>
        <w:rPr>
          <w:rFonts w:ascii="宋体" w:hAnsi="宋体"/>
          <w:sz w:val="28"/>
          <w:szCs w:val="28"/>
        </w:rPr>
      </w:pPr>
      <w:r>
        <w:rPr>
          <w:rFonts w:hint="eastAsia" w:ascii="宋体" w:hAnsi="宋体"/>
          <w:sz w:val="28"/>
          <w:szCs w:val="28"/>
        </w:rPr>
        <w:t>履约保函</w:t>
      </w:r>
    </w:p>
    <w:p>
      <w:pPr>
        <w:ind w:right="980"/>
        <w:jc w:val="right"/>
        <w:rPr>
          <w:rFonts w:ascii="宋体" w:hAnsi="宋体"/>
          <w:sz w:val="28"/>
          <w:szCs w:val="28"/>
        </w:rPr>
      </w:pPr>
      <w:r>
        <w:rPr>
          <w:rFonts w:hint="eastAsia" w:ascii="宋体" w:hAnsi="宋体"/>
          <w:sz w:val="28"/>
          <w:szCs w:val="28"/>
        </w:rPr>
        <w:t xml:space="preserve">保函编号：                  </w:t>
      </w:r>
    </w:p>
    <w:p>
      <w:pPr>
        <w:rPr>
          <w:rFonts w:ascii="宋体" w:hAnsi="宋体"/>
          <w:sz w:val="28"/>
          <w:szCs w:val="28"/>
        </w:rPr>
      </w:pPr>
      <w:r>
        <w:rPr>
          <w:rFonts w:hint="eastAsia" w:ascii="宋体" w:hAnsi="宋体"/>
          <w:sz w:val="28"/>
          <w:szCs w:val="28"/>
        </w:rPr>
        <w:t>致：中机中联工程有限公司（以下简称甲方）</w:t>
      </w:r>
    </w:p>
    <w:p>
      <w:pPr>
        <w:rPr>
          <w:rFonts w:ascii="宋体" w:hAnsi="宋体"/>
          <w:sz w:val="28"/>
          <w:szCs w:val="28"/>
        </w:rPr>
      </w:pPr>
      <w:r>
        <w:rPr>
          <w:rFonts w:hint="eastAsia" w:ascii="宋体" w:hAnsi="宋体"/>
          <w:sz w:val="28"/>
          <w:szCs w:val="28"/>
        </w:rPr>
        <w:t xml:space="preserve">    地址：重庆市石桥铺渝州路17号</w:t>
      </w:r>
    </w:p>
    <w:p>
      <w:pPr>
        <w:rPr>
          <w:rFonts w:ascii="宋体" w:hAnsi="宋体"/>
          <w:sz w:val="28"/>
          <w:szCs w:val="28"/>
        </w:rPr>
      </w:pPr>
      <w:r>
        <w:rPr>
          <w:rFonts w:hint="eastAsia" w:ascii="宋体" w:hAnsi="宋体"/>
          <w:sz w:val="28"/>
          <w:szCs w:val="28"/>
        </w:rPr>
        <w:t xml:space="preserve">    本保函作为贵方与                         （以下简称乙方）于    年   月   日就                    项目（以下简称项目）签订的            号合同的履约保函。</w:t>
      </w:r>
    </w:p>
    <w:p>
      <w:pPr>
        <w:rPr>
          <w:rFonts w:ascii="宋体" w:hAnsi="宋体"/>
          <w:sz w:val="28"/>
          <w:szCs w:val="28"/>
        </w:rPr>
      </w:pPr>
      <w:r>
        <w:rPr>
          <w:rFonts w:hint="eastAsia" w:ascii="宋体" w:hAnsi="宋体"/>
          <w:sz w:val="28"/>
          <w:szCs w:val="28"/>
        </w:rPr>
        <w:t xml:space="preserve">    一、乙方已保证按《               》（以下简称合同）的规定实施上述项目。</w:t>
      </w:r>
    </w:p>
    <w:p>
      <w:pPr>
        <w:rPr>
          <w:rFonts w:ascii="宋体" w:hAnsi="宋体"/>
          <w:sz w:val="28"/>
          <w:szCs w:val="28"/>
        </w:rPr>
      </w:pPr>
      <w:r>
        <w:rPr>
          <w:rFonts w:hint="eastAsia" w:ascii="宋体" w:hAnsi="宋体"/>
          <w:sz w:val="28"/>
          <w:szCs w:val="28"/>
        </w:rPr>
        <w:t xml:space="preserve">    二、甲方要求乙方必须在合同生效前按规定金额提交一份银行担保书，作为履约担保。</w:t>
      </w:r>
    </w:p>
    <w:p>
      <w:pPr>
        <w:rPr>
          <w:rFonts w:ascii="宋体" w:hAnsi="宋体"/>
          <w:sz w:val="28"/>
          <w:szCs w:val="28"/>
        </w:rPr>
      </w:pPr>
      <w:r>
        <w:rPr>
          <w:rFonts w:hint="eastAsia" w:ascii="宋体" w:hAnsi="宋体"/>
          <w:sz w:val="28"/>
          <w:szCs w:val="28"/>
        </w:rPr>
        <w:t xml:space="preserve">    三、                          （以下简称本银行）已同意为乙方出具担保书。</w:t>
      </w:r>
    </w:p>
    <w:p>
      <w:pPr>
        <w:rPr>
          <w:rFonts w:ascii="宋体" w:hAnsi="宋体"/>
          <w:sz w:val="28"/>
          <w:szCs w:val="28"/>
        </w:rPr>
      </w:pPr>
      <w:r>
        <w:rPr>
          <w:rFonts w:hint="eastAsia" w:ascii="宋体" w:hAnsi="宋体"/>
          <w:sz w:val="28"/>
          <w:szCs w:val="28"/>
        </w:rPr>
        <w:t>因此：</w:t>
      </w:r>
    </w:p>
    <w:p>
      <w:pPr>
        <w:rPr>
          <w:rFonts w:ascii="宋体" w:hAnsi="宋体"/>
          <w:sz w:val="28"/>
          <w:szCs w:val="28"/>
        </w:rPr>
      </w:pPr>
      <w:r>
        <w:rPr>
          <w:rFonts w:hint="eastAsia" w:ascii="宋体" w:hAnsi="宋体"/>
          <w:sz w:val="28"/>
          <w:szCs w:val="28"/>
        </w:rPr>
        <w:t xml:space="preserve">    1、本银行同意作为担保人，并代表乙方向甲方担保总金额为人民币       元的保证金。本银行在收到甲方第一次书面付款通知书 10日内无条件付款，即在上述担保金额范围内，向甲方支付任何要求给付的金额，甲方无须出具证明或陈述要求付款的理由。</w:t>
      </w:r>
    </w:p>
    <w:p>
      <w:pPr>
        <w:rPr>
          <w:rFonts w:ascii="宋体" w:hAnsi="宋体"/>
          <w:sz w:val="28"/>
          <w:szCs w:val="28"/>
        </w:rPr>
      </w:pPr>
      <w:r>
        <w:rPr>
          <w:rFonts w:hint="eastAsia" w:ascii="宋体" w:hAnsi="宋体"/>
          <w:sz w:val="28"/>
          <w:szCs w:val="28"/>
        </w:rPr>
        <w:t xml:space="preserve">    2、在本银行向甲方支付要求给付的金额前，本银行不坚持甲方先要求乙方偿还上述金额。</w:t>
      </w:r>
    </w:p>
    <w:p>
      <w:pPr>
        <w:rPr>
          <w:rFonts w:ascii="宋体" w:hAnsi="宋体"/>
          <w:sz w:val="28"/>
          <w:szCs w:val="28"/>
        </w:rPr>
      </w:pPr>
      <w:r>
        <w:rPr>
          <w:rFonts w:hint="eastAsia" w:ascii="宋体" w:hAnsi="宋体"/>
          <w:sz w:val="28"/>
          <w:szCs w:val="28"/>
        </w:rPr>
        <w:t xml:space="preserve">    3、本担保书有效期至乙方履行完毕合同规定由其承担的一切义务之日止，任何索赔要求应在有效期内送达本银行。</w:t>
      </w:r>
    </w:p>
    <w:p>
      <w:pPr>
        <w:rPr>
          <w:rFonts w:ascii="宋体" w:hAnsi="宋体"/>
          <w:sz w:val="28"/>
          <w:szCs w:val="28"/>
        </w:rPr>
      </w:pPr>
      <w:r>
        <w:rPr>
          <w:rFonts w:hint="eastAsia" w:ascii="宋体" w:hAnsi="宋体"/>
          <w:sz w:val="28"/>
          <w:szCs w:val="28"/>
        </w:rPr>
        <w:t xml:space="preserve">    4、本保函不得转让，我行对除中机中联工程有限公司以外的任何组织和个人不承担担保责任。</w:t>
      </w:r>
    </w:p>
    <w:p>
      <w:pPr>
        <w:rPr>
          <w:rFonts w:ascii="宋体" w:hAnsi="宋体"/>
          <w:sz w:val="28"/>
          <w:szCs w:val="28"/>
        </w:rPr>
      </w:pPr>
      <w:r>
        <w:rPr>
          <w:rFonts w:hint="eastAsia" w:ascii="宋体" w:hAnsi="宋体"/>
          <w:sz w:val="28"/>
          <w:szCs w:val="28"/>
        </w:rPr>
        <w:t xml:space="preserve">    5、本保函项下的任何支付应为免税和净值。对于现有或将来的税收、关税、收费、费用扣减或预提税款，不论这些款项是何种性质和由谁征收，都不应从本保函项下的支付中扣除。</w:t>
      </w:r>
    </w:p>
    <w:p>
      <w:pPr>
        <w:ind w:firstLine="570"/>
        <w:rPr>
          <w:rFonts w:ascii="宋体" w:hAnsi="宋体"/>
          <w:sz w:val="28"/>
          <w:szCs w:val="28"/>
        </w:rPr>
      </w:pPr>
      <w:r>
        <w:rPr>
          <w:rFonts w:hint="eastAsia" w:ascii="宋体" w:hAnsi="宋体"/>
          <w:sz w:val="28"/>
          <w:szCs w:val="28"/>
        </w:rPr>
        <w:t>6、本保函的条款构成本行无条件的、不可撤销的保证责任。对即将履行的合同条款的任何变更、贵方在时间上的宽限、或由贵方采取的如果没有本款可能免除本行责任的任何其它行为，均不能解除或免除本行在本保函项下的责任。</w:t>
      </w:r>
    </w:p>
    <w:p>
      <w:pPr>
        <w:rPr>
          <w:rFonts w:ascii="宋体" w:hAnsi="宋体"/>
          <w:sz w:val="28"/>
          <w:szCs w:val="28"/>
        </w:rPr>
      </w:pPr>
    </w:p>
    <w:p>
      <w:pPr>
        <w:rPr>
          <w:rFonts w:ascii="宋体" w:hAnsi="宋体"/>
          <w:sz w:val="28"/>
          <w:szCs w:val="28"/>
        </w:rPr>
      </w:pPr>
    </w:p>
    <w:p>
      <w:pPr>
        <w:rPr>
          <w:rFonts w:ascii="宋体" w:hAnsi="宋体"/>
          <w:sz w:val="28"/>
          <w:szCs w:val="28"/>
        </w:rPr>
      </w:pPr>
      <w:r>
        <w:rPr>
          <w:rFonts w:hint="eastAsia" w:ascii="宋体" w:hAnsi="宋体"/>
          <w:sz w:val="28"/>
          <w:szCs w:val="28"/>
        </w:rPr>
        <w:t>担保银行授权人：                  （银行公章）</w:t>
      </w:r>
    </w:p>
    <w:p>
      <w:pPr>
        <w:rPr>
          <w:rFonts w:ascii="宋体" w:hAnsi="宋体"/>
          <w:sz w:val="28"/>
          <w:szCs w:val="28"/>
        </w:rPr>
      </w:pPr>
      <w:r>
        <w:rPr>
          <w:rFonts w:hint="eastAsia" w:ascii="宋体" w:hAnsi="宋体"/>
          <w:sz w:val="28"/>
          <w:szCs w:val="28"/>
        </w:rPr>
        <w:t xml:space="preserve">担保银行名称：                  </w:t>
      </w:r>
    </w:p>
    <w:p>
      <w:pPr>
        <w:rPr>
          <w:rFonts w:ascii="宋体" w:hAnsi="宋体"/>
          <w:sz w:val="28"/>
          <w:szCs w:val="28"/>
        </w:rPr>
      </w:pPr>
      <w:r>
        <w:rPr>
          <w:rFonts w:hint="eastAsia" w:ascii="宋体" w:hAnsi="宋体"/>
          <w:sz w:val="28"/>
          <w:szCs w:val="28"/>
        </w:rPr>
        <w:t xml:space="preserve">银行法定地址：                  </w:t>
      </w:r>
    </w:p>
    <w:p>
      <w:pPr>
        <w:rPr>
          <w:rFonts w:ascii="宋体" w:hAnsi="宋体"/>
          <w:sz w:val="28"/>
          <w:szCs w:val="28"/>
        </w:rPr>
      </w:pPr>
      <w:r>
        <w:rPr>
          <w:rFonts w:hint="eastAsia" w:ascii="宋体" w:hAnsi="宋体"/>
          <w:sz w:val="28"/>
          <w:szCs w:val="28"/>
        </w:rPr>
        <w:t xml:space="preserve">出具保函日期：                  </w:t>
      </w:r>
    </w:p>
    <w:p>
      <w:pPr>
        <w:widowControl/>
        <w:snapToGrid w:val="0"/>
        <w:spacing w:line="360" w:lineRule="auto"/>
        <w:ind w:left="720"/>
        <w:jc w:val="left"/>
        <w:rPr>
          <w:rFonts w:ascii="宋体" w:hAnsi="宋体" w:cs="宋体"/>
          <w:kern w:val="0"/>
          <w:sz w:val="24"/>
        </w:rPr>
      </w:pPr>
    </w:p>
    <w:p>
      <w:pPr>
        <w:spacing w:line="360" w:lineRule="auto"/>
        <w:rPr>
          <w:rFonts w:ascii="宋体" w:hAnsi="宋体" w:cs="宋体"/>
          <w:b/>
          <w:sz w:val="24"/>
        </w:rPr>
        <w:sectPr>
          <w:pgSz w:w="11906" w:h="16838"/>
          <w:pgMar w:top="1418" w:right="1555" w:bottom="1418" w:left="1531" w:header="851" w:footer="992" w:gutter="0"/>
          <w:cols w:space="720" w:num="1"/>
          <w:docGrid w:type="lines" w:linePitch="312" w:charSpace="0"/>
        </w:sectPr>
      </w:pPr>
    </w:p>
    <w:p>
      <w:pPr>
        <w:spacing w:line="360" w:lineRule="auto"/>
        <w:rPr>
          <w:rFonts w:ascii="宋体" w:hAnsi="宋体" w:cs="宋体"/>
          <w:b/>
          <w:sz w:val="24"/>
        </w:rPr>
      </w:pPr>
    </w:p>
    <w:p>
      <w:pPr>
        <w:spacing w:line="360" w:lineRule="auto"/>
        <w:jc w:val="left"/>
        <w:rPr>
          <w:rFonts w:ascii="宋体" w:hAnsi="宋体" w:cs="宋体"/>
          <w:szCs w:val="21"/>
        </w:rPr>
      </w:pPr>
      <w:r>
        <w:rPr>
          <w:rFonts w:hint="eastAsia" w:ascii="宋体" w:hAnsi="宋体" w:cs="宋体"/>
          <w:b/>
          <w:bCs/>
          <w:kern w:val="0"/>
          <w:sz w:val="28"/>
          <w:szCs w:val="28"/>
        </w:rPr>
        <w:t>附件5：</w:t>
      </w:r>
    </w:p>
    <w:p>
      <w:pPr>
        <w:spacing w:line="360" w:lineRule="auto"/>
        <w:jc w:val="center"/>
        <w:rPr>
          <w:rFonts w:ascii="宋体" w:hAnsi="宋体" w:cs="宋体"/>
          <w:b/>
          <w:sz w:val="32"/>
          <w:szCs w:val="32"/>
        </w:rPr>
      </w:pPr>
      <w:r>
        <w:rPr>
          <w:rFonts w:hint="eastAsia" w:ascii="宋体" w:hAnsi="宋体" w:cs="宋体"/>
          <w:b/>
          <w:sz w:val="32"/>
          <w:szCs w:val="32"/>
        </w:rPr>
        <w:t>工程质量保修书</w:t>
      </w:r>
    </w:p>
    <w:p>
      <w:pPr>
        <w:spacing w:line="360" w:lineRule="auto"/>
        <w:ind w:firstLine="420" w:firstLineChars="200"/>
        <w:jc w:val="left"/>
        <w:rPr>
          <w:rFonts w:ascii="宋体" w:hAnsi="宋体" w:cs="宋体"/>
          <w:szCs w:val="21"/>
        </w:rPr>
      </w:pPr>
      <w:r>
        <w:rPr>
          <w:rFonts w:hint="eastAsia" w:ascii="宋体" w:hAnsi="宋体" w:cs="宋体"/>
          <w:szCs w:val="21"/>
        </w:rPr>
        <w:t>甲方（全称）：</w:t>
      </w:r>
      <w:r>
        <w:rPr>
          <w:rFonts w:hint="eastAsia" w:ascii="宋体" w:hAnsi="宋体" w:cs="宋体"/>
          <w:szCs w:val="21"/>
          <w:u w:val="single"/>
        </w:rPr>
        <w:t xml:space="preserve">中机中联工程有限公司 </w:t>
      </w:r>
    </w:p>
    <w:p>
      <w:pPr>
        <w:spacing w:line="360" w:lineRule="auto"/>
        <w:jc w:val="left"/>
        <w:rPr>
          <w:rFonts w:ascii="宋体" w:hAnsi="宋体" w:cs="宋体"/>
          <w:szCs w:val="21"/>
        </w:rPr>
      </w:pPr>
      <w:r>
        <w:rPr>
          <w:rFonts w:hint="eastAsia" w:ascii="宋体" w:hAnsi="宋体" w:cs="宋体"/>
          <w:szCs w:val="21"/>
        </w:rPr>
        <w:t>　　乙方（全称）：</w:t>
      </w:r>
    </w:p>
    <w:p>
      <w:pPr>
        <w:spacing w:line="360" w:lineRule="auto"/>
        <w:ind w:firstLine="420"/>
        <w:jc w:val="left"/>
        <w:rPr>
          <w:rFonts w:ascii="宋体" w:hAnsi="宋体" w:cs="宋体"/>
          <w:szCs w:val="21"/>
        </w:rPr>
      </w:pPr>
      <w:r>
        <w:rPr>
          <w:rFonts w:hint="eastAsia" w:ascii="宋体" w:hAnsi="宋体" w:cs="宋体"/>
          <w:szCs w:val="21"/>
        </w:rPr>
        <w:t>甲方和乙方根据《中华人民共和国建筑法》和《建设工程质量管理条例》，经协商一致就</w:t>
      </w:r>
      <w:r>
        <w:rPr>
          <w:rFonts w:hint="eastAsia" w:ascii="宋体" w:hAnsi="宋体" w:cs="宋体"/>
          <w:szCs w:val="21"/>
          <w:u w:val="single"/>
        </w:rPr>
        <w:t>西彭组团D63、D64地块厂房项目钢结构工程专业分包</w:t>
      </w:r>
      <w:r>
        <w:rPr>
          <w:rFonts w:hint="eastAsia" w:ascii="宋体" w:hAnsi="宋体" w:cs="宋体"/>
          <w:szCs w:val="21"/>
        </w:rPr>
        <w:t>签订工程质量保修书。</w:t>
      </w:r>
    </w:p>
    <w:p>
      <w:pPr>
        <w:spacing w:line="360" w:lineRule="auto"/>
        <w:jc w:val="left"/>
        <w:rPr>
          <w:rFonts w:ascii="宋体" w:hAnsi="宋体" w:cs="宋体"/>
          <w:szCs w:val="21"/>
        </w:rPr>
      </w:pPr>
      <w:r>
        <w:rPr>
          <w:rFonts w:hint="eastAsia" w:ascii="宋体" w:hAnsi="宋体" w:cs="宋体"/>
          <w:szCs w:val="21"/>
        </w:rPr>
        <w:t>　　一、工程质量保修范围和内容</w:t>
      </w:r>
    </w:p>
    <w:p>
      <w:pPr>
        <w:spacing w:line="360" w:lineRule="auto"/>
        <w:ind w:firstLine="540"/>
        <w:rPr>
          <w:rFonts w:ascii="宋体" w:hAnsi="宋体" w:cs="宋体"/>
          <w:szCs w:val="21"/>
        </w:rPr>
      </w:pPr>
      <w:r>
        <w:rPr>
          <w:rFonts w:hint="eastAsia" w:ascii="宋体" w:hAnsi="宋体" w:cs="宋体"/>
          <w:szCs w:val="21"/>
        </w:rPr>
        <w:t>乙方在质量保修期内，按照有关法律、法规、规章的管理规定和双方约定，承担本工程质量保修责任。</w:t>
      </w:r>
    </w:p>
    <w:p>
      <w:pPr>
        <w:spacing w:line="360" w:lineRule="auto"/>
        <w:ind w:firstLine="525" w:firstLineChars="250"/>
        <w:jc w:val="left"/>
        <w:rPr>
          <w:rFonts w:ascii="宋体" w:hAnsi="宋体" w:cs="宋体"/>
          <w:szCs w:val="21"/>
        </w:rPr>
      </w:pPr>
      <w:r>
        <w:rPr>
          <w:rFonts w:hint="eastAsia" w:ascii="宋体" w:hAnsi="宋体" w:cs="宋体"/>
          <w:szCs w:val="21"/>
        </w:rPr>
        <w:t>质量保修范围包括</w:t>
      </w:r>
      <w:r>
        <w:rPr>
          <w:rFonts w:hint="eastAsia" w:ascii="宋体" w:hAnsi="宋体" w:cs="宋体"/>
          <w:szCs w:val="21"/>
          <w:u w:val="single"/>
        </w:rPr>
        <w:t>西彭组团D63、D64地块厂房项目钢结构工程专业分包</w:t>
      </w:r>
      <w:r>
        <w:rPr>
          <w:rFonts w:hint="eastAsia" w:ascii="宋体" w:hAnsi="宋体" w:cs="宋体"/>
          <w:szCs w:val="21"/>
        </w:rPr>
        <w:t>全部工作内容，以及双方约定的其它项目。</w:t>
      </w:r>
    </w:p>
    <w:p>
      <w:pPr>
        <w:spacing w:line="360" w:lineRule="auto"/>
        <w:jc w:val="left"/>
        <w:rPr>
          <w:rFonts w:ascii="宋体" w:hAnsi="宋体" w:cs="宋体"/>
          <w:szCs w:val="21"/>
        </w:rPr>
      </w:pPr>
      <w:r>
        <w:rPr>
          <w:rFonts w:hint="eastAsia" w:ascii="宋体" w:hAnsi="宋体" w:cs="宋体"/>
          <w:b/>
          <w:szCs w:val="21"/>
        </w:rPr>
        <w:t>　　</w:t>
      </w:r>
      <w:r>
        <w:rPr>
          <w:rFonts w:hint="eastAsia" w:ascii="宋体" w:hAnsi="宋体" w:cs="宋体"/>
          <w:szCs w:val="21"/>
        </w:rPr>
        <w:t>二、质量保修期</w:t>
      </w:r>
    </w:p>
    <w:p>
      <w:pPr>
        <w:spacing w:line="360" w:lineRule="auto"/>
        <w:jc w:val="left"/>
        <w:rPr>
          <w:rFonts w:ascii="宋体" w:hAnsi="宋体" w:cs="宋体"/>
          <w:szCs w:val="21"/>
        </w:rPr>
      </w:pPr>
      <w:r>
        <w:rPr>
          <w:rFonts w:hint="eastAsia" w:ascii="宋体" w:hAnsi="宋体" w:cs="宋体"/>
          <w:szCs w:val="21"/>
        </w:rPr>
        <w:t>根据《建设工程质量管理条例》及有关规定，工程的质量保修期如下：</w:t>
      </w:r>
    </w:p>
    <w:p>
      <w:pPr>
        <w:spacing w:line="360" w:lineRule="auto"/>
        <w:jc w:val="left"/>
        <w:rPr>
          <w:rFonts w:ascii="宋体" w:hAnsi="宋体" w:cs="宋体"/>
          <w:szCs w:val="21"/>
        </w:rPr>
      </w:pPr>
      <w:r>
        <w:rPr>
          <w:rFonts w:hint="eastAsia" w:ascii="宋体" w:hAnsi="宋体" w:cs="宋体"/>
          <w:szCs w:val="21"/>
        </w:rPr>
        <w:t xml:space="preserve">    1、主体结构工程及结构工程：设计文件规定的合理使用年限。</w:t>
      </w:r>
    </w:p>
    <w:p>
      <w:pPr>
        <w:spacing w:line="360" w:lineRule="auto"/>
        <w:jc w:val="left"/>
        <w:rPr>
          <w:rFonts w:ascii="宋体" w:hAnsi="宋体" w:cs="宋体"/>
          <w:szCs w:val="21"/>
        </w:rPr>
      </w:pPr>
      <w:r>
        <w:rPr>
          <w:rFonts w:hint="eastAsia" w:ascii="宋体" w:hAnsi="宋体" w:cs="宋体"/>
          <w:szCs w:val="21"/>
        </w:rPr>
        <w:t xml:space="preserve">    2、其他：两年（防水五年）</w:t>
      </w:r>
    </w:p>
    <w:p>
      <w:pPr>
        <w:spacing w:line="360" w:lineRule="auto"/>
        <w:jc w:val="left"/>
        <w:rPr>
          <w:rFonts w:ascii="宋体" w:hAnsi="宋体" w:cs="宋体"/>
          <w:szCs w:val="21"/>
        </w:rPr>
      </w:pPr>
      <w:r>
        <w:rPr>
          <w:rFonts w:hint="eastAsia" w:ascii="宋体" w:hAnsi="宋体" w:cs="宋体"/>
          <w:szCs w:val="21"/>
        </w:rPr>
        <w:t>　　质量保修期自工程竣工验收合格之日起计算。</w:t>
      </w:r>
    </w:p>
    <w:p>
      <w:pPr>
        <w:spacing w:line="360" w:lineRule="auto"/>
        <w:ind w:firstLine="420" w:firstLineChars="200"/>
        <w:jc w:val="left"/>
        <w:rPr>
          <w:rFonts w:ascii="宋体" w:hAnsi="宋体" w:cs="宋体"/>
          <w:szCs w:val="21"/>
        </w:rPr>
      </w:pPr>
      <w:r>
        <w:rPr>
          <w:rFonts w:hint="eastAsia" w:ascii="宋体" w:hAnsi="宋体" w:cs="宋体"/>
          <w:szCs w:val="21"/>
        </w:rPr>
        <w:t>三、缺陷责任期</w:t>
      </w:r>
    </w:p>
    <w:p>
      <w:pPr>
        <w:spacing w:line="360" w:lineRule="auto"/>
        <w:jc w:val="left"/>
        <w:rPr>
          <w:rFonts w:ascii="宋体" w:hAnsi="宋体" w:cs="宋体"/>
          <w:szCs w:val="21"/>
        </w:rPr>
      </w:pPr>
      <w:r>
        <w:rPr>
          <w:rFonts w:hint="eastAsia" w:ascii="宋体" w:hAnsi="宋体" w:cs="宋体"/>
          <w:szCs w:val="21"/>
        </w:rPr>
        <w:t xml:space="preserve">    工程缺陷责任期为</w:t>
      </w:r>
      <w:r>
        <w:rPr>
          <w:rFonts w:hint="eastAsia" w:ascii="宋体" w:hAnsi="宋体" w:cs="宋体"/>
          <w:szCs w:val="21"/>
          <w:u w:val="single"/>
        </w:rPr>
        <w:t>24</w:t>
      </w:r>
      <w:r>
        <w:rPr>
          <w:rFonts w:hint="eastAsia" w:ascii="宋体" w:hAnsi="宋体" w:cs="宋体"/>
          <w:szCs w:val="21"/>
        </w:rPr>
        <w:t>个月，缺陷责任期自工程竣工验收合格之日起计算。单位工程先于全部工程进行验收，单位工程缺陷责任期自单位工程验收合格之日起算。</w:t>
      </w:r>
    </w:p>
    <w:p>
      <w:pPr>
        <w:spacing w:line="360" w:lineRule="auto"/>
        <w:jc w:val="left"/>
        <w:rPr>
          <w:rFonts w:ascii="宋体" w:hAnsi="宋体" w:cs="宋体"/>
          <w:szCs w:val="21"/>
        </w:rPr>
      </w:pPr>
      <w:r>
        <w:rPr>
          <w:rFonts w:hint="eastAsia" w:ascii="宋体" w:hAnsi="宋体" w:cs="宋体"/>
          <w:szCs w:val="21"/>
        </w:rPr>
        <w:t>缺陷责任期终止后，甲方应退还剩余的质量保证金。</w:t>
      </w:r>
    </w:p>
    <w:p>
      <w:pPr>
        <w:spacing w:line="360" w:lineRule="auto"/>
        <w:jc w:val="left"/>
        <w:rPr>
          <w:rFonts w:ascii="宋体" w:hAnsi="宋体" w:cs="宋体"/>
          <w:szCs w:val="21"/>
        </w:rPr>
      </w:pPr>
      <w:r>
        <w:rPr>
          <w:rFonts w:hint="eastAsia" w:ascii="宋体" w:hAnsi="宋体" w:cs="宋体"/>
          <w:szCs w:val="21"/>
        </w:rPr>
        <w:t xml:space="preserve">    四、质量保修责任</w:t>
      </w:r>
    </w:p>
    <w:p>
      <w:pPr>
        <w:spacing w:line="360" w:lineRule="auto"/>
        <w:jc w:val="left"/>
        <w:rPr>
          <w:rFonts w:ascii="宋体" w:hAnsi="宋体" w:cs="宋体"/>
          <w:szCs w:val="21"/>
        </w:rPr>
      </w:pPr>
      <w:r>
        <w:rPr>
          <w:rFonts w:hint="eastAsia" w:ascii="宋体" w:hAnsi="宋体" w:cs="宋体"/>
          <w:szCs w:val="21"/>
        </w:rPr>
        <w:t xml:space="preserve">    1、属于保修范围、内容的项目，乙方应当在接到保修通知之日起7天内派人保修。乙方不在约定期限内派人保修的，甲方可以委托他人修理。</w:t>
      </w:r>
    </w:p>
    <w:p>
      <w:pPr>
        <w:spacing w:line="360" w:lineRule="auto"/>
        <w:jc w:val="left"/>
        <w:rPr>
          <w:rFonts w:ascii="宋体" w:hAnsi="宋体" w:cs="宋体"/>
          <w:szCs w:val="21"/>
        </w:rPr>
      </w:pPr>
      <w:r>
        <w:rPr>
          <w:rFonts w:hint="eastAsia" w:ascii="宋体" w:hAnsi="宋体" w:cs="宋体"/>
          <w:szCs w:val="21"/>
        </w:rPr>
        <w:t xml:space="preserve">    2、发生紧急事故需抢修的，乙方在接到事故通知后，应当立即到达事故现场抢修。</w:t>
      </w:r>
    </w:p>
    <w:p>
      <w:pPr>
        <w:spacing w:line="360" w:lineRule="auto"/>
        <w:jc w:val="left"/>
        <w:rPr>
          <w:rFonts w:ascii="宋体" w:hAnsi="宋体" w:cs="宋体"/>
          <w:szCs w:val="21"/>
        </w:rPr>
      </w:pPr>
      <w:r>
        <w:rPr>
          <w:rFonts w:hint="eastAsia" w:ascii="宋体" w:hAnsi="宋体" w:cs="宋体"/>
          <w:szCs w:val="21"/>
        </w:rPr>
        <w:t xml:space="preserve">    3、对于涉及结构安全的质量问题，应当按照《建设工程质量管理条例》的规定，立即向当地建设行政主管部门和有关部门报告，采取安全防范措施，并由原设计人或者具有相应资质等级的设计人提出保修方案，乙方实施保修。</w:t>
      </w:r>
    </w:p>
    <w:p>
      <w:pPr>
        <w:spacing w:line="360" w:lineRule="auto"/>
        <w:jc w:val="left"/>
        <w:rPr>
          <w:rFonts w:ascii="宋体" w:hAnsi="宋体" w:cs="宋体"/>
          <w:szCs w:val="21"/>
        </w:rPr>
      </w:pPr>
      <w:r>
        <w:rPr>
          <w:rFonts w:hint="eastAsia" w:ascii="宋体" w:hAnsi="宋体" w:cs="宋体"/>
          <w:szCs w:val="21"/>
        </w:rPr>
        <w:t xml:space="preserve">    4、质量保修完成后，由甲方组织验收。</w:t>
      </w:r>
    </w:p>
    <w:p>
      <w:pPr>
        <w:spacing w:line="360" w:lineRule="auto"/>
        <w:jc w:val="left"/>
        <w:rPr>
          <w:rFonts w:ascii="宋体" w:hAnsi="宋体" w:cs="宋体"/>
          <w:szCs w:val="21"/>
        </w:rPr>
      </w:pPr>
      <w:r>
        <w:rPr>
          <w:rFonts w:hint="eastAsia" w:ascii="宋体" w:hAnsi="宋体" w:cs="宋体"/>
          <w:szCs w:val="21"/>
        </w:rPr>
        <w:t>五、保修费用</w:t>
      </w:r>
    </w:p>
    <w:p>
      <w:pPr>
        <w:spacing w:line="360" w:lineRule="auto"/>
        <w:jc w:val="left"/>
        <w:rPr>
          <w:rFonts w:ascii="宋体" w:hAnsi="宋体" w:cs="宋体"/>
          <w:szCs w:val="21"/>
        </w:rPr>
      </w:pPr>
      <w:r>
        <w:rPr>
          <w:rFonts w:hint="eastAsia" w:ascii="宋体" w:hAnsi="宋体" w:cs="宋体"/>
          <w:szCs w:val="21"/>
        </w:rPr>
        <w:t>　　保修费用由造成质量缺陷的责任方承担。</w:t>
      </w:r>
    </w:p>
    <w:p>
      <w:pPr>
        <w:spacing w:line="360" w:lineRule="auto"/>
        <w:jc w:val="left"/>
        <w:rPr>
          <w:rFonts w:ascii="宋体" w:hAnsi="宋体" w:cs="宋体"/>
          <w:szCs w:val="21"/>
        </w:rPr>
      </w:pPr>
      <w:r>
        <w:rPr>
          <w:rFonts w:hint="eastAsia" w:ascii="宋体" w:hAnsi="宋体" w:cs="宋体"/>
          <w:b/>
          <w:szCs w:val="21"/>
        </w:rPr>
        <w:t>六</w:t>
      </w:r>
      <w:r>
        <w:rPr>
          <w:rFonts w:hint="eastAsia" w:ascii="宋体" w:hAnsi="宋体" w:cs="宋体"/>
          <w:szCs w:val="21"/>
        </w:rPr>
        <w:t>、双方约定的其他工程质量保修事项：</w:t>
      </w:r>
      <w:r>
        <w:rPr>
          <w:rFonts w:hint="eastAsia" w:ascii="宋体" w:hAnsi="宋体" w:cs="宋体"/>
          <w:szCs w:val="21"/>
          <w:u w:val="single"/>
        </w:rPr>
        <w:t xml:space="preserve">  无。   </w:t>
      </w:r>
    </w:p>
    <w:p>
      <w:pPr>
        <w:spacing w:line="360" w:lineRule="auto"/>
        <w:jc w:val="left"/>
        <w:rPr>
          <w:rFonts w:ascii="宋体" w:hAnsi="宋体" w:cs="宋体"/>
          <w:szCs w:val="21"/>
        </w:rPr>
      </w:pPr>
      <w:r>
        <w:rPr>
          <w:rFonts w:hint="eastAsia" w:ascii="宋体" w:hAnsi="宋体" w:cs="宋体"/>
          <w:szCs w:val="21"/>
        </w:rPr>
        <w:t>工程质量保修书由甲方、乙方在工程竣工验收前共同签署，作为施工合同附件，其有效期限至保修期满。</w:t>
      </w:r>
    </w:p>
    <w:p>
      <w:pPr>
        <w:spacing w:line="360" w:lineRule="auto"/>
        <w:jc w:val="left"/>
        <w:rPr>
          <w:rFonts w:ascii="宋体" w:hAnsi="宋体" w:cs="宋体"/>
          <w:szCs w:val="21"/>
        </w:rPr>
      </w:pPr>
    </w:p>
    <w:p>
      <w:pPr>
        <w:spacing w:line="360" w:lineRule="auto"/>
        <w:jc w:val="left"/>
        <w:rPr>
          <w:rFonts w:ascii="宋体" w:hAnsi="宋体" w:cs="宋体"/>
          <w:szCs w:val="21"/>
        </w:rPr>
      </w:pPr>
      <w:r>
        <w:rPr>
          <w:rFonts w:hint="eastAsia" w:ascii="宋体" w:hAnsi="宋体" w:cs="宋体"/>
          <w:szCs w:val="21"/>
        </w:rPr>
        <w:t>发包人(公章)：</w:t>
      </w:r>
      <w:r>
        <w:rPr>
          <w:rFonts w:hint="eastAsia" w:ascii="宋体" w:hAnsi="宋体" w:cs="宋体"/>
          <w:u w:val="single"/>
        </w:rPr>
        <w:t>中机中联工程有限公司</w:t>
      </w:r>
      <w:r>
        <w:rPr>
          <w:rFonts w:hint="eastAsia" w:ascii="宋体" w:hAnsi="宋体" w:cs="宋体"/>
        </w:rPr>
        <w:t xml:space="preserve">   </w:t>
      </w:r>
      <w:r>
        <w:rPr>
          <w:rFonts w:hint="eastAsia" w:ascii="宋体" w:hAnsi="宋体" w:cs="宋体"/>
          <w:szCs w:val="21"/>
        </w:rPr>
        <w:t>承包人(公章)：</w:t>
      </w:r>
    </w:p>
    <w:p>
      <w:pPr>
        <w:spacing w:line="360" w:lineRule="auto"/>
        <w:jc w:val="left"/>
        <w:rPr>
          <w:rFonts w:ascii="宋体" w:hAnsi="宋体" w:cs="宋体"/>
          <w:szCs w:val="21"/>
        </w:rPr>
      </w:pPr>
      <w:r>
        <w:rPr>
          <w:rFonts w:hint="eastAsia" w:ascii="宋体" w:hAnsi="宋体" w:cs="宋体"/>
          <w:szCs w:val="21"/>
        </w:rPr>
        <w:t>地  址：</w:t>
      </w:r>
      <w:r>
        <w:rPr>
          <w:rFonts w:hint="eastAsia" w:ascii="宋体" w:hAnsi="宋体" w:cs="宋体"/>
          <w:szCs w:val="21"/>
          <w:u w:val="single"/>
        </w:rPr>
        <w:t></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rPr>
        <w:t>地  址：</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法定代表人(签字)：</w:t>
      </w:r>
      <w:r>
        <w:rPr>
          <w:rFonts w:hint="eastAsia" w:ascii="宋体" w:hAnsi="宋体" w:cs="宋体"/>
          <w:szCs w:val="21"/>
          <w:u w:val="single"/>
        </w:rPr>
        <w:t></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rPr>
        <w:t>法定代表人(签字)：</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委托代理人(签字)：</w:t>
      </w:r>
      <w:r>
        <w:rPr>
          <w:rFonts w:hint="eastAsia" w:ascii="宋体" w:hAnsi="宋体" w:cs="宋体"/>
          <w:szCs w:val="21"/>
          <w:u w:val="single"/>
        </w:rPr>
        <w:t></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rPr>
        <w:t>委托代理人(签字)：</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电  话：</w:t>
      </w:r>
      <w:r>
        <w:rPr>
          <w:rFonts w:hint="eastAsia" w:ascii="宋体" w:hAnsi="宋体" w:cs="宋体"/>
          <w:szCs w:val="21"/>
          <w:u w:val="single"/>
        </w:rPr>
        <w:t></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rPr>
        <w:t>电  话：</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传  真：</w:t>
      </w:r>
      <w:r>
        <w:rPr>
          <w:rFonts w:hint="eastAsia" w:ascii="宋体" w:hAnsi="宋体" w:cs="宋体"/>
          <w:szCs w:val="21"/>
          <w:u w:val="single"/>
        </w:rPr>
        <w:t></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rPr>
        <w:t>传  真：</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开户银行：</w:t>
      </w:r>
      <w:r>
        <w:rPr>
          <w:rFonts w:hint="eastAsia" w:ascii="宋体" w:hAnsi="宋体" w:cs="宋体"/>
          <w:szCs w:val="21"/>
          <w:u w:val="single"/>
        </w:rPr>
        <w:t></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rPr>
        <w:t>开户银行：</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账  号：</w:t>
      </w:r>
      <w:r>
        <w:rPr>
          <w:rFonts w:hint="eastAsia" w:ascii="宋体" w:hAnsi="宋体" w:cs="宋体"/>
          <w:szCs w:val="21"/>
          <w:u w:val="single"/>
        </w:rPr>
        <w:t></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rPr>
        <w:t>账  号：</w:t>
      </w:r>
      <w:r>
        <w:rPr>
          <w:rFonts w:hint="eastAsia" w:ascii="宋体" w:hAnsi="宋体" w:cs="宋体"/>
          <w:szCs w:val="21"/>
          <w:u w:val="single"/>
        </w:rPr>
        <w:t></w:t>
      </w:r>
    </w:p>
    <w:p>
      <w:pPr>
        <w:spacing w:line="360" w:lineRule="auto"/>
        <w:jc w:val="left"/>
        <w:rPr>
          <w:rFonts w:ascii="宋体" w:hAnsi="宋体" w:cs="宋体"/>
          <w:szCs w:val="21"/>
        </w:rPr>
      </w:pPr>
      <w:r>
        <w:rPr>
          <w:rFonts w:hint="eastAsia" w:ascii="宋体" w:hAnsi="宋体" w:cs="宋体"/>
          <w:szCs w:val="21"/>
        </w:rPr>
        <w:t>邮政编码：</w:t>
      </w:r>
      <w:r>
        <w:rPr>
          <w:rFonts w:hint="eastAsia" w:ascii="宋体" w:hAnsi="宋体" w:cs="宋体"/>
          <w:szCs w:val="21"/>
          <w:u w:val="single"/>
        </w:rPr>
        <w:t></w:t>
      </w:r>
      <w:r>
        <w:rPr>
          <w:rFonts w:hint="eastAsia" w:ascii="宋体" w:hAnsi="宋体" w:cs="宋体"/>
          <w:szCs w:val="21"/>
        </w:rPr>
        <w:t xml:space="preserve"> </w:t>
      </w:r>
      <w:r>
        <w:rPr>
          <w:rFonts w:ascii="宋体" w:hAnsi="宋体" w:cs="宋体"/>
          <w:szCs w:val="21"/>
        </w:rPr>
        <w:t xml:space="preserve">             </w:t>
      </w:r>
      <w:r>
        <w:rPr>
          <w:rFonts w:hint="eastAsia" w:ascii="宋体" w:hAnsi="宋体" w:cs="宋体"/>
          <w:szCs w:val="21"/>
        </w:rPr>
        <w:t xml:space="preserve"> 邮政编码：</w:t>
      </w:r>
      <w:r>
        <w:rPr>
          <w:rFonts w:hint="eastAsia" w:ascii="宋体" w:hAnsi="宋体" w:cs="宋体"/>
          <w:szCs w:val="21"/>
          <w:u w:val="single"/>
        </w:rPr>
        <w:t></w:t>
      </w:r>
    </w:p>
    <w:p>
      <w:pPr>
        <w:rPr>
          <w:rFonts w:ascii="宋体" w:hAnsi="宋体" w:cs="宋体"/>
        </w:rPr>
      </w:pPr>
    </w:p>
    <w:p>
      <w:pPr>
        <w:wordWrap w:val="0"/>
        <w:spacing w:line="360" w:lineRule="auto"/>
        <w:jc w:val="left"/>
        <w:rPr>
          <w:rFonts w:ascii="宋体" w:hAnsi="宋体" w:cs="宋体"/>
          <w:sz w:val="30"/>
          <w:szCs w:val="32"/>
        </w:rPr>
        <w:sectPr>
          <w:pgSz w:w="11906" w:h="16838"/>
          <w:pgMar w:top="1418" w:right="1555" w:bottom="1418" w:left="1531" w:header="851" w:footer="992" w:gutter="0"/>
          <w:cols w:space="720" w:num="1"/>
          <w:docGrid w:type="lines" w:linePitch="312" w:charSpace="0"/>
        </w:sectPr>
      </w:pPr>
    </w:p>
    <w:p>
      <w:pPr>
        <w:spacing w:line="360" w:lineRule="auto"/>
        <w:jc w:val="left"/>
        <w:rPr>
          <w:rFonts w:ascii="宋体" w:hAnsi="宋体" w:cs="宋体"/>
          <w:szCs w:val="21"/>
        </w:rPr>
      </w:pPr>
      <w:r>
        <w:rPr>
          <w:rFonts w:hint="eastAsia" w:ascii="宋体" w:hAnsi="宋体" w:cs="宋体"/>
          <w:b/>
          <w:bCs/>
          <w:kern w:val="0"/>
          <w:sz w:val="28"/>
          <w:szCs w:val="28"/>
        </w:rPr>
        <w:t xml:space="preserve">附件6：   </w:t>
      </w:r>
    </w:p>
    <w:p>
      <w:pPr>
        <w:spacing w:line="360" w:lineRule="auto"/>
        <w:jc w:val="center"/>
        <w:rPr>
          <w:rFonts w:ascii="宋体" w:hAnsi="宋体" w:cs="宋体"/>
          <w:b/>
          <w:bCs/>
          <w:sz w:val="44"/>
          <w:szCs w:val="44"/>
        </w:rPr>
      </w:pPr>
      <w:r>
        <w:rPr>
          <w:rFonts w:hint="eastAsia" w:ascii="宋体" w:hAnsi="宋体" w:cs="宋体"/>
          <w:b/>
          <w:sz w:val="32"/>
          <w:szCs w:val="32"/>
        </w:rPr>
        <w:t>廉政协议</w:t>
      </w:r>
    </w:p>
    <w:p>
      <w:pPr>
        <w:spacing w:line="460" w:lineRule="exact"/>
        <w:rPr>
          <w:rFonts w:ascii="宋体" w:hAnsi="宋体" w:cs="宋体"/>
          <w:u w:val="single"/>
        </w:rPr>
      </w:pPr>
      <w:r>
        <w:rPr>
          <w:rFonts w:hint="eastAsia" w:ascii="宋体" w:hAnsi="宋体" w:cs="宋体"/>
          <w:szCs w:val="21"/>
        </w:rPr>
        <w:t>甲方（全称）：</w:t>
      </w:r>
      <w:r>
        <w:rPr>
          <w:rFonts w:hint="eastAsia" w:ascii="宋体" w:hAnsi="宋体" w:cs="宋体"/>
          <w:u w:val="single"/>
        </w:rPr>
        <w:t>中机中联工程有限公司</w:t>
      </w:r>
    </w:p>
    <w:p>
      <w:pPr>
        <w:spacing w:line="460" w:lineRule="exact"/>
        <w:rPr>
          <w:rFonts w:ascii="宋体" w:hAnsi="宋体" w:cs="宋体"/>
          <w:kern w:val="0"/>
          <w:szCs w:val="21"/>
          <w:u w:val="single"/>
        </w:rPr>
      </w:pPr>
      <w:r>
        <w:rPr>
          <w:rFonts w:hint="eastAsia" w:ascii="宋体" w:hAnsi="宋体" w:cs="宋体"/>
          <w:szCs w:val="21"/>
        </w:rPr>
        <w:t>乙方（全称）：</w:t>
      </w:r>
    </w:p>
    <w:p>
      <w:pPr>
        <w:spacing w:line="460" w:lineRule="exact"/>
        <w:ind w:firstLine="420" w:firstLineChars="200"/>
        <w:rPr>
          <w:rFonts w:ascii="宋体" w:hAnsi="宋体" w:cs="宋体"/>
          <w:bCs/>
          <w:sz w:val="32"/>
          <w:u w:val="single"/>
        </w:rPr>
      </w:pPr>
      <w:r>
        <w:rPr>
          <w:rFonts w:hint="eastAsia" w:ascii="宋体" w:hAnsi="宋体" w:cs="宋体"/>
          <w:szCs w:val="21"/>
        </w:rPr>
        <w:t>根据有关工程建设、廉政建设的规定，为作好工程建设的党风廉政建设，保证工程建设高效优质，保证建设资金的安全和有效使用以及投资效益，</w:t>
      </w:r>
      <w:r>
        <w:rPr>
          <w:rFonts w:hint="eastAsia" w:ascii="宋体" w:hAnsi="宋体" w:cs="宋体"/>
          <w:szCs w:val="21"/>
          <w:u w:val="single"/>
        </w:rPr>
        <w:t>西彭组团D63、D64地块厂房项目钢结构工程专业分包</w:t>
      </w:r>
      <w:r>
        <w:rPr>
          <w:rFonts w:hint="eastAsia" w:ascii="宋体" w:hAnsi="宋体" w:cs="宋体"/>
          <w:szCs w:val="21"/>
        </w:rPr>
        <w:t>的甲方</w:t>
      </w:r>
      <w:r>
        <w:rPr>
          <w:rFonts w:hint="eastAsia" w:ascii="宋体" w:hAnsi="宋体" w:cs="宋体"/>
          <w:u w:val="single"/>
        </w:rPr>
        <w:t>中机中联工程有限公司</w:t>
      </w:r>
      <w:r>
        <w:rPr>
          <w:rFonts w:hint="eastAsia" w:ascii="宋体" w:hAnsi="宋体" w:cs="宋体"/>
          <w:szCs w:val="21"/>
        </w:rPr>
        <w:t>与乙方特订立本合同。</w:t>
      </w:r>
    </w:p>
    <w:p>
      <w:pPr>
        <w:spacing w:line="460" w:lineRule="exact"/>
        <w:ind w:left="-569" w:leftChars="-271" w:firstLine="840" w:firstLineChars="400"/>
        <w:rPr>
          <w:rFonts w:ascii="宋体" w:hAnsi="宋体" w:cs="宋体"/>
          <w:szCs w:val="21"/>
        </w:rPr>
      </w:pPr>
      <w:r>
        <w:rPr>
          <w:rFonts w:hint="eastAsia" w:ascii="宋体" w:hAnsi="宋体" w:cs="宋体"/>
          <w:szCs w:val="21"/>
        </w:rPr>
        <w:t>第一条甲方和乙方双方的权利和义务</w:t>
      </w:r>
    </w:p>
    <w:p>
      <w:pPr>
        <w:spacing w:line="460" w:lineRule="exact"/>
        <w:ind w:firstLine="420" w:firstLineChars="200"/>
        <w:rPr>
          <w:rFonts w:ascii="宋体" w:hAnsi="宋体" w:cs="宋体"/>
          <w:szCs w:val="21"/>
        </w:rPr>
      </w:pPr>
      <w:r>
        <w:rPr>
          <w:rFonts w:hint="eastAsia" w:ascii="宋体" w:hAnsi="宋体" w:cs="宋体"/>
          <w:szCs w:val="21"/>
        </w:rPr>
        <w:t>1.1严格遵守党的政策规定和国家有关法律法规及建设部的有关规定。</w:t>
      </w:r>
    </w:p>
    <w:p>
      <w:pPr>
        <w:spacing w:line="460" w:lineRule="exact"/>
        <w:ind w:firstLine="420" w:firstLineChars="200"/>
        <w:rPr>
          <w:rFonts w:ascii="宋体" w:hAnsi="宋体" w:cs="宋体"/>
          <w:szCs w:val="21"/>
        </w:rPr>
      </w:pPr>
      <w:r>
        <w:rPr>
          <w:rFonts w:hint="eastAsia" w:ascii="宋体" w:hAnsi="宋体" w:cs="宋体"/>
          <w:szCs w:val="21"/>
        </w:rPr>
        <w:t>1.2严格执行</w:t>
      </w:r>
      <w:r>
        <w:rPr>
          <w:rFonts w:hint="eastAsia" w:ascii="宋体" w:hAnsi="宋体" w:cs="宋体"/>
          <w:szCs w:val="21"/>
          <w:u w:val="single"/>
        </w:rPr>
        <w:t>西彭组团D63、D64地块厂房项目钢结构工程专业分包</w:t>
      </w:r>
      <w:r>
        <w:rPr>
          <w:rFonts w:hint="eastAsia" w:ascii="宋体" w:hAnsi="宋体" w:cs="宋体"/>
          <w:szCs w:val="21"/>
        </w:rPr>
        <w:t>合同文件，自觉按合同办事。</w:t>
      </w:r>
    </w:p>
    <w:p>
      <w:pPr>
        <w:spacing w:line="460" w:lineRule="exact"/>
        <w:ind w:firstLine="420" w:firstLineChars="200"/>
        <w:rPr>
          <w:rFonts w:ascii="宋体" w:hAnsi="宋体" w:cs="宋体"/>
          <w:szCs w:val="21"/>
        </w:rPr>
      </w:pPr>
      <w:r>
        <w:rPr>
          <w:rFonts w:hint="eastAsia" w:ascii="宋体" w:hAnsi="宋体" w:cs="宋体"/>
          <w:szCs w:val="21"/>
        </w:rPr>
        <w:t>1.3双方的业务活动坚持公开、公正、诚信、透明的原则（法律认定的商业秘密和合同文件规定除外），不得损害国家和集体利益，不得违反工程建设管理规章制度。</w:t>
      </w:r>
    </w:p>
    <w:p>
      <w:pPr>
        <w:spacing w:line="460" w:lineRule="exact"/>
        <w:ind w:firstLine="420" w:firstLineChars="200"/>
        <w:rPr>
          <w:rFonts w:ascii="宋体" w:hAnsi="宋体" w:cs="宋体"/>
          <w:szCs w:val="21"/>
        </w:rPr>
      </w:pPr>
      <w:r>
        <w:rPr>
          <w:rFonts w:hint="eastAsia" w:ascii="宋体" w:hAnsi="宋体" w:cs="宋体"/>
          <w:szCs w:val="21"/>
        </w:rPr>
        <w:t>1.4建立健全廉政制度，开展廉政教育，建立廉政告示牌，公布举报电话，监督并认真查处违法违纪行为。</w:t>
      </w:r>
    </w:p>
    <w:p>
      <w:pPr>
        <w:spacing w:line="460" w:lineRule="exact"/>
        <w:ind w:firstLine="420" w:firstLineChars="200"/>
        <w:rPr>
          <w:rFonts w:ascii="宋体" w:hAnsi="宋体" w:cs="宋体"/>
          <w:szCs w:val="21"/>
        </w:rPr>
      </w:pPr>
      <w:r>
        <w:rPr>
          <w:rFonts w:hint="eastAsia" w:ascii="宋体" w:hAnsi="宋体" w:cs="宋体"/>
          <w:szCs w:val="21"/>
        </w:rPr>
        <w:t>1.5发现对方在业务活动中有违反廉政规定的行为，有及时提醒对方纠正的权利和义务。</w:t>
      </w:r>
    </w:p>
    <w:p>
      <w:pPr>
        <w:spacing w:line="460" w:lineRule="exact"/>
        <w:ind w:firstLine="420" w:firstLineChars="200"/>
        <w:rPr>
          <w:rFonts w:ascii="宋体" w:hAnsi="宋体" w:cs="宋体"/>
          <w:szCs w:val="21"/>
        </w:rPr>
      </w:pPr>
      <w:r>
        <w:rPr>
          <w:rFonts w:hint="eastAsia" w:ascii="宋体" w:hAnsi="宋体" w:cs="宋体"/>
          <w:szCs w:val="21"/>
        </w:rPr>
        <w:t>发现对方严重违反本合同条款的行为，有向上级有关部门举报、建议给予处理并要求告知处理结果的权利。</w:t>
      </w:r>
    </w:p>
    <w:p>
      <w:pPr>
        <w:spacing w:line="460" w:lineRule="exact"/>
        <w:ind w:left="-569" w:leftChars="-271" w:firstLine="945" w:firstLineChars="450"/>
        <w:rPr>
          <w:rFonts w:ascii="宋体" w:hAnsi="宋体" w:cs="宋体"/>
          <w:szCs w:val="21"/>
        </w:rPr>
      </w:pPr>
      <w:r>
        <w:rPr>
          <w:rFonts w:hint="eastAsia" w:ascii="宋体" w:hAnsi="宋体" w:cs="宋体"/>
          <w:szCs w:val="21"/>
        </w:rPr>
        <w:t>第二条甲方的义务</w:t>
      </w:r>
    </w:p>
    <w:p>
      <w:pPr>
        <w:spacing w:line="460" w:lineRule="exact"/>
        <w:ind w:firstLine="420" w:firstLineChars="200"/>
        <w:rPr>
          <w:rFonts w:ascii="宋体" w:hAnsi="宋体" w:cs="宋体"/>
          <w:szCs w:val="21"/>
        </w:rPr>
      </w:pPr>
      <w:r>
        <w:rPr>
          <w:rFonts w:hint="eastAsia" w:ascii="宋体" w:hAnsi="宋体" w:cs="宋体"/>
          <w:szCs w:val="21"/>
        </w:rPr>
        <w:t>2.1甲方及其工作人员不得索要或接受乙方的礼金、有价证券和贵重物品，不得在乙方报销任何应由甲方或甲方工作人员个人支付的费用等。</w:t>
      </w:r>
    </w:p>
    <w:p>
      <w:pPr>
        <w:spacing w:line="460" w:lineRule="exact"/>
        <w:ind w:firstLine="420" w:firstLineChars="200"/>
        <w:rPr>
          <w:rFonts w:ascii="宋体" w:hAnsi="宋体" w:cs="宋体"/>
          <w:szCs w:val="21"/>
        </w:rPr>
      </w:pPr>
      <w:r>
        <w:rPr>
          <w:rFonts w:hint="eastAsia" w:ascii="宋体" w:hAnsi="宋体" w:cs="宋体"/>
          <w:szCs w:val="21"/>
        </w:rPr>
        <w:t>2.2甲方工作人员不得参加乙方安排的超标准宴请和娱乐活动；不得接受乙方提供的通讯工具、交通工具和高档办公用品等。</w:t>
      </w:r>
    </w:p>
    <w:p>
      <w:pPr>
        <w:spacing w:line="460" w:lineRule="exact"/>
        <w:ind w:firstLine="420" w:firstLineChars="200"/>
        <w:rPr>
          <w:rFonts w:ascii="宋体" w:hAnsi="宋体" w:cs="宋体"/>
          <w:szCs w:val="21"/>
        </w:rPr>
      </w:pPr>
      <w:r>
        <w:rPr>
          <w:rFonts w:hint="eastAsia" w:ascii="宋体" w:hAnsi="宋体" w:cs="宋体"/>
          <w:szCs w:val="21"/>
        </w:rPr>
        <w:t>2.3甲方及其工作人员不得要求或接受乙方为其住房装修、婚丧嫁娶活动配偶子女的工作安排以及出国出境、旅游等提供方便等。</w:t>
      </w:r>
    </w:p>
    <w:p>
      <w:pPr>
        <w:spacing w:line="460" w:lineRule="exact"/>
        <w:ind w:firstLine="420" w:firstLineChars="200"/>
        <w:rPr>
          <w:rFonts w:ascii="宋体" w:hAnsi="宋体" w:cs="宋体"/>
          <w:szCs w:val="21"/>
        </w:rPr>
      </w:pPr>
      <w:r>
        <w:rPr>
          <w:rFonts w:hint="eastAsia" w:ascii="宋体" w:hAnsi="宋体" w:cs="宋体"/>
          <w:szCs w:val="21"/>
        </w:rPr>
        <w:t>2.4甲方工作人员及其配偶、子女不得从事与乙方工程有关的材料设备供应、工程分包、劳务等经济活动。</w:t>
      </w:r>
    </w:p>
    <w:p>
      <w:pPr>
        <w:spacing w:line="460" w:lineRule="exact"/>
        <w:ind w:left="-569" w:leftChars="-271" w:firstLine="840" w:firstLineChars="400"/>
        <w:rPr>
          <w:rFonts w:ascii="宋体" w:hAnsi="宋体" w:cs="宋体"/>
          <w:szCs w:val="21"/>
        </w:rPr>
      </w:pPr>
      <w:r>
        <w:rPr>
          <w:rFonts w:hint="eastAsia" w:ascii="宋体" w:hAnsi="宋体" w:cs="宋体"/>
          <w:szCs w:val="21"/>
        </w:rPr>
        <w:t>第三条乙方义务</w:t>
      </w:r>
    </w:p>
    <w:p>
      <w:pPr>
        <w:spacing w:line="460" w:lineRule="exact"/>
        <w:ind w:firstLine="420" w:firstLineChars="200"/>
        <w:rPr>
          <w:rFonts w:ascii="宋体" w:hAnsi="宋体" w:cs="宋体"/>
          <w:szCs w:val="21"/>
        </w:rPr>
      </w:pPr>
      <w:r>
        <w:rPr>
          <w:rFonts w:hint="eastAsia" w:ascii="宋体" w:hAnsi="宋体" w:cs="宋体"/>
          <w:szCs w:val="21"/>
        </w:rPr>
        <w:t>3.1乙方不得以任何理由向甲方及其工作人员行贿或馈赠礼金、有价证券、贵重礼品等。</w:t>
      </w:r>
    </w:p>
    <w:p>
      <w:pPr>
        <w:spacing w:line="460" w:lineRule="exact"/>
        <w:ind w:firstLine="420" w:firstLineChars="200"/>
        <w:rPr>
          <w:rFonts w:ascii="宋体" w:hAnsi="宋体" w:cs="宋体"/>
          <w:szCs w:val="21"/>
        </w:rPr>
      </w:pPr>
      <w:r>
        <w:rPr>
          <w:rFonts w:hint="eastAsia" w:ascii="宋体" w:hAnsi="宋体" w:cs="宋体"/>
          <w:szCs w:val="21"/>
        </w:rPr>
        <w:t>3.2乙方不得以任何名义为甲方及其工作人员报销应由甲方单位或个人支付的任何费用。</w:t>
      </w:r>
    </w:p>
    <w:p>
      <w:pPr>
        <w:spacing w:line="460" w:lineRule="exact"/>
        <w:ind w:firstLine="420" w:firstLineChars="200"/>
        <w:rPr>
          <w:rFonts w:ascii="宋体" w:hAnsi="宋体" w:cs="宋体"/>
          <w:szCs w:val="21"/>
        </w:rPr>
      </w:pPr>
      <w:r>
        <w:rPr>
          <w:rFonts w:hint="eastAsia" w:ascii="宋体" w:hAnsi="宋体" w:cs="宋体"/>
          <w:szCs w:val="21"/>
        </w:rPr>
        <w:t>3.3乙方不得以任何理由安排甲方工作人员参加外出旅游或超标准宴请及娱乐活动。</w:t>
      </w:r>
    </w:p>
    <w:p>
      <w:pPr>
        <w:spacing w:line="460" w:lineRule="exact"/>
        <w:ind w:firstLine="420" w:firstLineChars="200"/>
        <w:rPr>
          <w:rFonts w:ascii="宋体" w:hAnsi="宋体" w:cs="宋体"/>
          <w:szCs w:val="21"/>
        </w:rPr>
      </w:pPr>
      <w:r>
        <w:rPr>
          <w:rFonts w:hint="eastAsia" w:ascii="宋体" w:hAnsi="宋体" w:cs="宋体"/>
          <w:szCs w:val="21"/>
        </w:rPr>
        <w:t>3.4乙方不得为甲方和个人购置或提供通讯工具、交通工具和高档办公用品等。</w:t>
      </w:r>
    </w:p>
    <w:p>
      <w:pPr>
        <w:spacing w:line="460" w:lineRule="exact"/>
        <w:ind w:firstLine="420" w:firstLineChars="200"/>
        <w:rPr>
          <w:rFonts w:ascii="宋体" w:hAnsi="宋体" w:cs="宋体"/>
          <w:szCs w:val="21"/>
        </w:rPr>
      </w:pPr>
      <w:r>
        <w:rPr>
          <w:rFonts w:hint="eastAsia" w:ascii="宋体" w:hAnsi="宋体" w:cs="宋体"/>
          <w:szCs w:val="21"/>
        </w:rPr>
        <w:t>3.5乙方及其工作人员必须严格按照规程办事，不得与监理单位串通监理损害甲方利益。</w:t>
      </w:r>
    </w:p>
    <w:p>
      <w:pPr>
        <w:spacing w:line="460" w:lineRule="exact"/>
        <w:ind w:firstLine="420" w:firstLineChars="200"/>
        <w:rPr>
          <w:rFonts w:ascii="宋体" w:hAnsi="宋体" w:cs="宋体"/>
          <w:szCs w:val="21"/>
        </w:rPr>
      </w:pPr>
      <w:r>
        <w:rPr>
          <w:rFonts w:hint="eastAsia" w:ascii="宋体" w:hAnsi="宋体" w:cs="宋体"/>
          <w:szCs w:val="21"/>
        </w:rPr>
        <w:t>3.6乙方如果发现甲方工作人员有违反廉政规定的行为，应向甲方组织或上级单位举报。甲方不得以任何借口对乙方进行报复。甲方对举报属实或严格遵守廉政合同的乙方，在同等条件下给予承接后续工程的优先邀请参加权。</w:t>
      </w:r>
    </w:p>
    <w:p>
      <w:pPr>
        <w:spacing w:line="460" w:lineRule="exact"/>
        <w:ind w:left="-569" w:leftChars="-271" w:firstLine="945" w:firstLineChars="450"/>
        <w:rPr>
          <w:rFonts w:ascii="宋体" w:hAnsi="宋体" w:cs="宋体"/>
          <w:szCs w:val="21"/>
        </w:rPr>
      </w:pPr>
      <w:r>
        <w:rPr>
          <w:rFonts w:hint="eastAsia" w:ascii="宋体" w:hAnsi="宋体" w:cs="宋体"/>
          <w:szCs w:val="21"/>
        </w:rPr>
        <w:t>第四条违约责任</w:t>
      </w:r>
    </w:p>
    <w:p>
      <w:pPr>
        <w:spacing w:line="460" w:lineRule="exact"/>
        <w:ind w:firstLine="420" w:firstLineChars="200"/>
        <w:rPr>
          <w:rFonts w:ascii="宋体" w:hAnsi="宋体" w:cs="宋体"/>
          <w:szCs w:val="21"/>
        </w:rPr>
      </w:pPr>
      <w:r>
        <w:rPr>
          <w:rFonts w:hint="eastAsia" w:ascii="宋体" w:hAnsi="宋体" w:cs="宋体"/>
          <w:szCs w:val="21"/>
        </w:rPr>
        <w:t>4.1甲方及其工作人员违反本合同第一、第二条，按管理权限，依据有关规定给予党纪、政纪或组织处理；涉嫌犯罪的，移交司法机关追究刑事主任；给乙方单位造成损失的，应予以赔偿。</w:t>
      </w:r>
    </w:p>
    <w:p>
      <w:pPr>
        <w:spacing w:line="460" w:lineRule="exact"/>
        <w:ind w:firstLine="420" w:firstLineChars="200"/>
        <w:rPr>
          <w:rFonts w:ascii="宋体" w:hAnsi="宋体" w:cs="宋体"/>
          <w:szCs w:val="21"/>
        </w:rPr>
      </w:pPr>
      <w:r>
        <w:rPr>
          <w:rFonts w:hint="eastAsia" w:ascii="宋体" w:hAnsi="宋体" w:cs="宋体"/>
          <w:szCs w:val="21"/>
        </w:rPr>
        <w:t>4.2乙方及其工作人员违反本合同的第三条，甲方根据具体情节和造成的后果追究乙方工程合同造价1～5％的违约金，给甲方单位造成损失的，均由乙方承担；五年内不得参与甲方后续工程的投标；情节严重的，甲方有权建议工程建设主管部门给予乙方一年至三年内不得进入其主管的工程建设市场的处罚。</w:t>
      </w:r>
    </w:p>
    <w:p>
      <w:pPr>
        <w:spacing w:line="460" w:lineRule="exact"/>
        <w:ind w:firstLine="420" w:firstLineChars="200"/>
        <w:rPr>
          <w:rFonts w:ascii="宋体" w:hAnsi="宋体" w:cs="宋体"/>
          <w:szCs w:val="21"/>
        </w:rPr>
      </w:pPr>
      <w:r>
        <w:rPr>
          <w:rFonts w:hint="eastAsia" w:ascii="宋体" w:hAnsi="宋体" w:cs="宋体"/>
          <w:szCs w:val="21"/>
        </w:rPr>
        <w:t>第五条双方约定，本合同由双方或双上级单位的纪检监察机关负责监督执行。</w:t>
      </w:r>
    </w:p>
    <w:p>
      <w:pPr>
        <w:spacing w:line="460" w:lineRule="exact"/>
        <w:ind w:firstLine="420" w:firstLineChars="200"/>
        <w:rPr>
          <w:rFonts w:ascii="宋体" w:hAnsi="宋体" w:cs="宋体"/>
          <w:szCs w:val="21"/>
        </w:rPr>
      </w:pPr>
      <w:r>
        <w:rPr>
          <w:rFonts w:hint="eastAsia" w:ascii="宋体" w:hAnsi="宋体" w:cs="宋体"/>
          <w:szCs w:val="21"/>
        </w:rPr>
        <w:t>第六条本合同从甲方和乙方双方签署之日起生效，至该工程项目竣工验收后失效。</w:t>
      </w:r>
    </w:p>
    <w:p>
      <w:pPr>
        <w:spacing w:line="460" w:lineRule="exact"/>
        <w:ind w:firstLine="420" w:firstLineChars="200"/>
        <w:rPr>
          <w:rFonts w:ascii="宋体" w:hAnsi="宋体" w:cs="宋体"/>
          <w:szCs w:val="21"/>
        </w:rPr>
      </w:pPr>
      <w:r>
        <w:rPr>
          <w:rFonts w:hint="eastAsia" w:ascii="宋体" w:hAnsi="宋体" w:cs="宋体"/>
          <w:szCs w:val="21"/>
        </w:rPr>
        <w:t>第七条本合同作为</w:t>
      </w:r>
      <w:r>
        <w:rPr>
          <w:rFonts w:hint="eastAsia" w:ascii="宋体" w:hAnsi="宋体" w:cs="宋体"/>
          <w:szCs w:val="21"/>
          <w:u w:val="single"/>
        </w:rPr>
        <w:t>西彭组团D63、D64地块厂房项目钢结构工程专业分包</w:t>
      </w:r>
      <w:r>
        <w:rPr>
          <w:rFonts w:hint="eastAsia" w:ascii="宋体" w:hAnsi="宋体" w:cs="宋体"/>
          <w:szCs w:val="21"/>
        </w:rPr>
        <w:t>合同附件，与工程合同具有同等的法律效力。</w:t>
      </w:r>
    </w:p>
    <w:p>
      <w:pPr>
        <w:spacing w:line="460" w:lineRule="exact"/>
        <w:rPr>
          <w:rFonts w:ascii="宋体" w:hAnsi="宋体" w:cs="宋体"/>
          <w:szCs w:val="21"/>
        </w:rPr>
      </w:pPr>
      <w:r>
        <w:rPr>
          <w:rFonts w:hint="eastAsia" w:ascii="宋体" w:hAnsi="宋体" w:cs="宋体"/>
          <w:szCs w:val="21"/>
        </w:rPr>
        <w:t xml:space="preserve">   （以下无正文）</w:t>
      </w:r>
    </w:p>
    <w:p>
      <w:pPr>
        <w:spacing w:line="460" w:lineRule="exact"/>
        <w:ind w:left="6090" w:hanging="6090" w:hangingChars="2900"/>
        <w:rPr>
          <w:rFonts w:ascii="宋体" w:hAnsi="宋体" w:cs="宋体"/>
          <w:szCs w:val="21"/>
        </w:rPr>
      </w:pPr>
      <w:r>
        <w:rPr>
          <w:rFonts w:hint="eastAsia" w:ascii="宋体" w:hAnsi="宋体" w:cs="宋体"/>
          <w:szCs w:val="21"/>
        </w:rPr>
        <w:t>甲方（盖章）：中机中联工程有限公司      乙方（盖章）：</w:t>
      </w:r>
    </w:p>
    <w:p>
      <w:pPr>
        <w:spacing w:line="460" w:lineRule="exact"/>
        <w:rPr>
          <w:rFonts w:ascii="宋体" w:hAnsi="宋体" w:cs="宋体"/>
          <w:szCs w:val="21"/>
        </w:rPr>
      </w:pPr>
      <w:r>
        <w:rPr>
          <w:rFonts w:hint="eastAsia" w:ascii="宋体" w:hAnsi="宋体" w:cs="宋体"/>
          <w:szCs w:val="21"/>
        </w:rPr>
        <w:t>法定代表人（签字）：                    法定代表人（签字）：</w:t>
      </w:r>
    </w:p>
    <w:p>
      <w:pPr>
        <w:spacing w:line="460" w:lineRule="exact"/>
        <w:rPr>
          <w:rFonts w:ascii="宋体" w:hAnsi="宋体" w:cs="宋体"/>
          <w:szCs w:val="21"/>
        </w:rPr>
      </w:pPr>
      <w:r>
        <w:rPr>
          <w:rFonts w:hint="eastAsia" w:ascii="宋体" w:hAnsi="宋体" w:cs="宋体"/>
          <w:szCs w:val="21"/>
        </w:rPr>
        <w:t>或其委托代理人（签字）：                或其委托代理人（签字）：</w:t>
      </w:r>
    </w:p>
    <w:p>
      <w:pPr>
        <w:spacing w:line="460" w:lineRule="exact"/>
        <w:rPr>
          <w:rFonts w:ascii="宋体" w:hAnsi="宋体" w:cs="宋体"/>
          <w:szCs w:val="21"/>
        </w:rPr>
      </w:pPr>
    </w:p>
    <w:p>
      <w:pPr>
        <w:spacing w:line="460" w:lineRule="exact"/>
        <w:rPr>
          <w:rFonts w:ascii="宋体" w:hAnsi="宋体" w:cs="宋体"/>
          <w:szCs w:val="21"/>
        </w:rPr>
      </w:pPr>
    </w:p>
    <w:p>
      <w:pPr>
        <w:spacing w:line="460" w:lineRule="exact"/>
        <w:rPr>
          <w:rFonts w:ascii="宋体" w:hAnsi="宋体" w:cs="宋体"/>
          <w:szCs w:val="21"/>
        </w:rPr>
      </w:pPr>
      <w:r>
        <w:rPr>
          <w:rFonts w:hint="eastAsia" w:ascii="宋体" w:hAnsi="宋体" w:cs="宋体"/>
          <w:szCs w:val="21"/>
        </w:rPr>
        <w:t>甲方监督机构：</w:t>
      </w:r>
    </w:p>
    <w:p>
      <w:pPr>
        <w:spacing w:line="460" w:lineRule="exact"/>
        <w:rPr>
          <w:rFonts w:ascii="宋体" w:hAnsi="宋体" w:cs="宋体"/>
          <w:szCs w:val="21"/>
        </w:rPr>
        <w:sectPr>
          <w:footerReference r:id="rId17" w:type="default"/>
          <w:footerReference r:id="rId18" w:type="even"/>
          <w:pgSz w:w="11906" w:h="16838"/>
          <w:pgMar w:top="1418" w:right="1361" w:bottom="1418" w:left="1418" w:header="851" w:footer="992" w:gutter="0"/>
          <w:cols w:space="720" w:num="1"/>
          <w:docGrid w:linePitch="312" w:charSpace="0"/>
        </w:sectPr>
      </w:pPr>
      <w:r>
        <w:rPr>
          <w:rFonts w:hint="eastAsia" w:ascii="宋体" w:hAnsi="宋体" w:cs="宋体"/>
          <w:szCs w:val="21"/>
        </w:rPr>
        <w:t xml:space="preserve">负责人（签字）：       </w:t>
      </w:r>
    </w:p>
    <w:p>
      <w:pPr>
        <w:spacing w:line="360" w:lineRule="auto"/>
        <w:jc w:val="left"/>
        <w:rPr>
          <w:rFonts w:ascii="宋体" w:hAnsi="宋体" w:cs="宋体"/>
          <w:szCs w:val="21"/>
        </w:rPr>
      </w:pPr>
      <w:r>
        <w:rPr>
          <w:rFonts w:hint="eastAsia" w:ascii="宋体" w:hAnsi="宋体" w:cs="宋体"/>
          <w:b/>
          <w:bCs/>
          <w:kern w:val="0"/>
          <w:sz w:val="28"/>
          <w:szCs w:val="28"/>
        </w:rPr>
        <w:t xml:space="preserve">附件7：   </w:t>
      </w:r>
    </w:p>
    <w:p>
      <w:pPr>
        <w:spacing w:line="360" w:lineRule="auto"/>
        <w:jc w:val="center"/>
        <w:rPr>
          <w:rFonts w:ascii="宋体" w:hAnsi="宋体" w:cs="宋体"/>
          <w:b/>
          <w:sz w:val="32"/>
          <w:szCs w:val="32"/>
        </w:rPr>
      </w:pPr>
      <w:r>
        <w:rPr>
          <w:rFonts w:hint="eastAsia" w:ascii="宋体" w:hAnsi="宋体" w:cs="宋体"/>
          <w:b/>
          <w:sz w:val="32"/>
          <w:szCs w:val="32"/>
        </w:rPr>
        <w:t>安全生产协议书</w:t>
      </w:r>
    </w:p>
    <w:p>
      <w:pPr>
        <w:spacing w:line="360" w:lineRule="auto"/>
        <w:ind w:firstLine="525" w:firstLineChars="250"/>
        <w:jc w:val="left"/>
        <w:rPr>
          <w:rFonts w:ascii="宋体" w:hAnsi="宋体" w:cs="宋体"/>
          <w:b/>
          <w:snapToGrid w:val="0"/>
          <w:kern w:val="0"/>
          <w:position w:val="-2"/>
          <w:szCs w:val="21"/>
          <w:u w:val="single"/>
        </w:rPr>
      </w:pPr>
      <w:r>
        <w:rPr>
          <w:rFonts w:hint="eastAsia" w:ascii="宋体" w:hAnsi="宋体" w:cs="宋体"/>
          <w:szCs w:val="21"/>
        </w:rPr>
        <w:t>安全生产是一切经济部门和生产企业的首要任务，生产必须保证安全是建筑企业必须遵守的原则，为了贯彻执行“安全第一，预防为主”的安全生产方针，切实加强管理，保证职工在生产过程中的安全和健康，促进生产发展，为在</w:t>
      </w:r>
      <w:r>
        <w:rPr>
          <w:rFonts w:hint="eastAsia" w:ascii="宋体" w:hAnsi="宋体" w:cs="宋体"/>
          <w:bCs/>
          <w:szCs w:val="21"/>
          <w:u w:val="single"/>
        </w:rPr>
        <w:t xml:space="preserve">西彭组团D63、D64地块厂房项目钢结构工程专业分包合同 </w:t>
      </w:r>
      <w:r>
        <w:rPr>
          <w:rFonts w:hint="eastAsia" w:ascii="宋体" w:hAnsi="宋体" w:cs="宋体"/>
          <w:szCs w:val="21"/>
        </w:rPr>
        <w:t>的实施过程中创造安全、高效的施工环境，切实搞好本项目的安全管理工作，本项目发包人</w:t>
      </w:r>
      <w:r>
        <w:rPr>
          <w:rFonts w:hint="eastAsia" w:ascii="宋体" w:hAnsi="宋体" w:cs="宋体"/>
          <w:bCs/>
          <w:szCs w:val="21"/>
          <w:u w:val="single"/>
        </w:rPr>
        <w:t xml:space="preserve"> 中机中联工程有限公司 </w:t>
      </w:r>
      <w:r>
        <w:rPr>
          <w:rFonts w:hint="eastAsia" w:ascii="宋体" w:hAnsi="宋体" w:cs="宋体"/>
          <w:szCs w:val="21"/>
        </w:rPr>
        <w:t>与承包人特此签订安全生产协议书。</w:t>
      </w:r>
    </w:p>
    <w:p>
      <w:pPr>
        <w:spacing w:line="360" w:lineRule="auto"/>
        <w:ind w:firstLine="555"/>
        <w:textAlignment w:val="baseline"/>
        <w:rPr>
          <w:rFonts w:ascii="宋体" w:hAnsi="宋体" w:cs="宋体"/>
          <w:b/>
          <w:szCs w:val="21"/>
        </w:rPr>
      </w:pPr>
      <w:r>
        <w:rPr>
          <w:rFonts w:hint="eastAsia" w:ascii="宋体" w:hAnsi="宋体" w:cs="宋体"/>
          <w:b/>
          <w:szCs w:val="21"/>
        </w:rPr>
        <w:t>一、发包人职责</w:t>
      </w:r>
    </w:p>
    <w:p>
      <w:pPr>
        <w:spacing w:line="360" w:lineRule="auto"/>
        <w:textAlignment w:val="baseline"/>
        <w:rPr>
          <w:rFonts w:ascii="宋体" w:hAnsi="宋体" w:cs="宋体"/>
          <w:szCs w:val="21"/>
        </w:rPr>
      </w:pPr>
      <w:r>
        <w:rPr>
          <w:rFonts w:hint="eastAsia" w:ascii="宋体" w:hAnsi="宋体" w:cs="宋体"/>
          <w:szCs w:val="21"/>
        </w:rPr>
        <w:t xml:space="preserve">    1、严格遵守国家有关安全生产的法律法规，认真执行工程承包合同中的有关安全要求。</w:t>
      </w:r>
    </w:p>
    <w:p>
      <w:pPr>
        <w:spacing w:line="360" w:lineRule="auto"/>
        <w:textAlignment w:val="baseline"/>
        <w:rPr>
          <w:rFonts w:ascii="宋体" w:hAnsi="宋体" w:cs="宋体"/>
          <w:szCs w:val="21"/>
        </w:rPr>
      </w:pPr>
      <w:r>
        <w:rPr>
          <w:rFonts w:hint="eastAsia" w:ascii="宋体" w:hAnsi="宋体" w:cs="宋体"/>
          <w:szCs w:val="21"/>
        </w:rPr>
        <w:t xml:space="preserve">    2、按照“安全第一、预防为主”和坚持“管生产必须管安全”的原则进行安全生产管理，做到生产与安全工作同时计划、布置、检查、总结和评比。</w:t>
      </w:r>
    </w:p>
    <w:p>
      <w:pPr>
        <w:spacing w:line="360" w:lineRule="auto"/>
        <w:textAlignment w:val="baseline"/>
        <w:rPr>
          <w:rFonts w:ascii="宋体" w:hAnsi="宋体" w:cs="宋体"/>
          <w:szCs w:val="21"/>
        </w:rPr>
      </w:pPr>
      <w:r>
        <w:rPr>
          <w:rFonts w:hint="eastAsia" w:ascii="宋体" w:hAnsi="宋体" w:cs="宋体"/>
          <w:szCs w:val="21"/>
        </w:rPr>
        <w:t xml:space="preserve">    3、重要的安全设施必须坚持与主体结构工程“三同时”的原则，即：同时设计、审批，同时施工，同时验收，投人使用。</w:t>
      </w:r>
    </w:p>
    <w:p>
      <w:pPr>
        <w:spacing w:line="360" w:lineRule="auto"/>
        <w:textAlignment w:val="baseline"/>
        <w:rPr>
          <w:rFonts w:ascii="宋体" w:hAnsi="宋体" w:cs="宋体"/>
          <w:szCs w:val="21"/>
        </w:rPr>
      </w:pPr>
      <w:r>
        <w:rPr>
          <w:rFonts w:hint="eastAsia" w:ascii="宋体" w:hAnsi="宋体" w:cs="宋体"/>
          <w:szCs w:val="21"/>
        </w:rPr>
        <w:t xml:space="preserve">    4、定期召开安全生产调度会，及时传达中央及地方有关安全生产的精神。</w:t>
      </w:r>
    </w:p>
    <w:p>
      <w:pPr>
        <w:spacing w:line="360" w:lineRule="auto"/>
        <w:ind w:firstLine="420" w:firstLineChars="200"/>
        <w:textAlignment w:val="baseline"/>
        <w:rPr>
          <w:rFonts w:ascii="宋体" w:hAnsi="宋体" w:cs="宋体"/>
          <w:szCs w:val="21"/>
        </w:rPr>
      </w:pPr>
      <w:r>
        <w:rPr>
          <w:rFonts w:hint="eastAsia" w:ascii="宋体" w:hAnsi="宋体" w:cs="宋体"/>
          <w:szCs w:val="21"/>
        </w:rPr>
        <w:t>5、组织对承包人施工现场安全生产检查，监督承包人及时处理发现的各种安全隐患。</w:t>
      </w:r>
    </w:p>
    <w:p>
      <w:pPr>
        <w:spacing w:line="360" w:lineRule="auto"/>
        <w:ind w:firstLine="570"/>
        <w:textAlignment w:val="baseline"/>
        <w:rPr>
          <w:rFonts w:ascii="宋体" w:hAnsi="宋体" w:cs="宋体"/>
          <w:b/>
          <w:szCs w:val="21"/>
        </w:rPr>
      </w:pPr>
      <w:r>
        <w:rPr>
          <w:rFonts w:hint="eastAsia" w:ascii="宋体" w:hAnsi="宋体" w:cs="宋体"/>
          <w:b/>
          <w:szCs w:val="21"/>
        </w:rPr>
        <w:t>二、承包人职责</w:t>
      </w:r>
    </w:p>
    <w:p>
      <w:pPr>
        <w:spacing w:line="360" w:lineRule="auto"/>
        <w:textAlignment w:val="baseline"/>
        <w:rPr>
          <w:rFonts w:ascii="宋体" w:hAnsi="宋体" w:cs="宋体"/>
          <w:szCs w:val="21"/>
        </w:rPr>
      </w:pPr>
      <w:r>
        <w:rPr>
          <w:rFonts w:hint="eastAsia" w:ascii="宋体" w:hAnsi="宋体" w:cs="宋体"/>
          <w:szCs w:val="21"/>
        </w:rPr>
        <w:t xml:space="preserve">    1、严格遵守国家《安全生产法》、《建筑法》、《劳动法》、《安全生产许可证条例》、《建设工程安全生产管理条例》等一系列有关安全生产的法律法规，严格执行最新版本的《建筑施工安全检查标准》、《施工现场临时用电安全技术规范》等一系列标准、规程、规范。，认真执行工程承包合同中的有关安全要求。</w:t>
      </w:r>
    </w:p>
    <w:p>
      <w:pPr>
        <w:spacing w:line="360" w:lineRule="auto"/>
        <w:ind w:firstLine="420"/>
        <w:textAlignment w:val="baseline"/>
        <w:rPr>
          <w:rFonts w:ascii="宋体" w:hAnsi="宋体" w:cs="宋体"/>
          <w:szCs w:val="21"/>
        </w:rPr>
      </w:pPr>
      <w:r>
        <w:rPr>
          <w:rFonts w:hint="eastAsia" w:ascii="宋体" w:hAnsi="宋体" w:cs="宋体"/>
          <w:szCs w:val="21"/>
        </w:rPr>
        <w:t>2、坚持“安全第一、预防为主”和“管生产必须管安全”的原则，加强安全生产宣传教育，增强全员安全生产意识，建立健全各项安全生产的管理机构和安全生产管理制度，按规定配备专职及兼职安全管理人员，有组织有领导地开展安全生产活动。各级领导、工程技术人员、生产管理人员和施工作业人员，必须熟悉和遵守本条款的各项规定，做到生产与安全工作同时计划、布置、检查、总结和评比。</w:t>
      </w:r>
    </w:p>
    <w:p>
      <w:pPr>
        <w:spacing w:line="360" w:lineRule="auto"/>
        <w:ind w:firstLine="420"/>
        <w:textAlignment w:val="baseline"/>
        <w:rPr>
          <w:rFonts w:ascii="宋体" w:hAnsi="宋体" w:cs="宋体"/>
          <w:szCs w:val="21"/>
        </w:rPr>
      </w:pPr>
      <w:r>
        <w:rPr>
          <w:rFonts w:hint="eastAsia" w:ascii="宋体" w:hAnsi="宋体" w:cs="宋体"/>
          <w:szCs w:val="21"/>
        </w:rPr>
        <w:t>承办人应定期进行防火、防盗、防爆炸、防事故为重点的安全教育和遵纪守法教育，增强安全防范意识和遵纪守法意识。</w:t>
      </w:r>
    </w:p>
    <w:p>
      <w:pPr>
        <w:spacing w:line="360" w:lineRule="auto"/>
        <w:ind w:firstLine="420"/>
        <w:textAlignment w:val="baseline"/>
        <w:rPr>
          <w:rFonts w:ascii="宋体" w:hAnsi="宋体" w:cs="宋体"/>
          <w:szCs w:val="21"/>
        </w:rPr>
      </w:pPr>
      <w:r>
        <w:rPr>
          <w:rFonts w:hint="eastAsia" w:ascii="宋体" w:hAnsi="宋体" w:cs="宋体"/>
          <w:szCs w:val="21"/>
        </w:rPr>
        <w:t>3、建立健全安全生产责任制。从派往项目实施的项目经理到施工作业人员（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pPr>
        <w:spacing w:line="360" w:lineRule="auto"/>
        <w:ind w:firstLine="420"/>
        <w:textAlignment w:val="baseline"/>
        <w:rPr>
          <w:rFonts w:ascii="宋体" w:hAnsi="宋体" w:cs="宋体"/>
          <w:szCs w:val="21"/>
        </w:rPr>
      </w:pPr>
      <w:r>
        <w:rPr>
          <w:rFonts w:hint="eastAsia" w:ascii="宋体" w:hAnsi="宋体" w:cs="宋体"/>
          <w:szCs w:val="21"/>
        </w:rPr>
        <w:t>承包人应在施工开始前，根据建设工程的性质、规模和特点，配备规定数量的专职安全管理员，佩戴明显安全标志，并明确施工安全管理的具体职责范围。在进场3天内将安全管理机构、专职、兼职安全员名单报发包人备案。</w:t>
      </w:r>
    </w:p>
    <w:p>
      <w:pPr>
        <w:spacing w:line="360" w:lineRule="auto"/>
        <w:ind w:firstLine="420"/>
        <w:textAlignment w:val="baseline"/>
        <w:rPr>
          <w:rFonts w:ascii="宋体" w:hAnsi="宋体" w:cs="宋体"/>
          <w:szCs w:val="21"/>
        </w:rPr>
      </w:pPr>
      <w:r>
        <w:rPr>
          <w:rFonts w:hint="eastAsia" w:ascii="宋体" w:hAnsi="宋体" w:cs="宋体"/>
          <w:szCs w:val="21"/>
        </w:rPr>
        <w:t>承包人在编制施工组织设计时，应根据建设工程的性质、规模、特点以及施工现场的环境条件，制定和组织落实专项的施工安全技术措施，并向所有施工人员进行安全技术交底；在施工过程中，根据施工组织的设计和施工进度，向不同工种的施工人员进行专项的安全技术交底。施工安全技术措施应符合有关的国家标准、行业标准或地方标准。</w:t>
      </w:r>
    </w:p>
    <w:p>
      <w:pPr>
        <w:spacing w:line="360" w:lineRule="auto"/>
        <w:ind w:firstLine="420"/>
        <w:textAlignment w:val="baseline"/>
        <w:rPr>
          <w:rFonts w:ascii="宋体" w:hAnsi="宋体" w:cs="宋体"/>
          <w:szCs w:val="21"/>
        </w:rPr>
      </w:pPr>
      <w:r>
        <w:rPr>
          <w:rFonts w:hint="eastAsia" w:ascii="宋体" w:hAnsi="宋体" w:cs="宋体"/>
          <w:szCs w:val="21"/>
        </w:rPr>
        <w:t>承包人每天24小时必须有安全值班人员，要求安全值班人员对各自负责区域范围进行安全检查，做好安全检查记录，发现安全事故隐患以及违反施工安全技术标准或安全操作规程的行为，应及时予以制止或纠正，及时消除各种安全隐患、漏洞，并随时接受发包人的监督检查。</w:t>
      </w:r>
    </w:p>
    <w:p>
      <w:pPr>
        <w:spacing w:line="360" w:lineRule="auto"/>
        <w:ind w:firstLine="420"/>
        <w:textAlignment w:val="baseline"/>
        <w:rPr>
          <w:rFonts w:ascii="宋体" w:hAnsi="宋体" w:cs="宋体"/>
          <w:szCs w:val="21"/>
        </w:rPr>
      </w:pPr>
      <w:r>
        <w:rPr>
          <w:rFonts w:hint="eastAsia" w:ascii="宋体" w:hAnsi="宋体" w:cs="宋体"/>
          <w:szCs w:val="21"/>
        </w:rPr>
        <w:t>施工单位住地禁止留宿外人。</w:t>
      </w:r>
    </w:p>
    <w:p>
      <w:pPr>
        <w:spacing w:line="360" w:lineRule="auto"/>
        <w:textAlignment w:val="baseline"/>
        <w:rPr>
          <w:rFonts w:ascii="宋体" w:hAnsi="宋体" w:cs="宋体"/>
          <w:szCs w:val="21"/>
        </w:rPr>
      </w:pPr>
      <w:r>
        <w:rPr>
          <w:rFonts w:hint="eastAsia" w:ascii="宋体" w:hAnsi="宋体" w:cs="宋体"/>
          <w:szCs w:val="21"/>
        </w:rPr>
        <w:t xml:space="preserve">    4、承包人在任何时候都应采取各种合理的预防措施，防止其员工发生任何违法、违禁、暴力或妨碍治安的行为。</w:t>
      </w:r>
    </w:p>
    <w:p>
      <w:pPr>
        <w:spacing w:line="360" w:lineRule="auto"/>
        <w:ind w:firstLine="420" w:firstLineChars="200"/>
        <w:textAlignment w:val="baseline"/>
        <w:rPr>
          <w:rFonts w:ascii="宋体" w:hAnsi="宋体" w:cs="宋体"/>
          <w:szCs w:val="21"/>
        </w:rPr>
      </w:pPr>
      <w:r>
        <w:rPr>
          <w:rFonts w:hint="eastAsia" w:ascii="宋体" w:hAnsi="宋体" w:cs="宋体"/>
          <w:szCs w:val="21"/>
        </w:rPr>
        <w:t>5、承包人应建立、健全对施工人员的日常安全教育、技术培训和考核的制度，并严格组织实施。承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特种作业人员安全操作合格证》后，方准持证上岗。施工现场如出现特种作业无证操作或过期现象时，项目经理必须承担管理责任。安全管理人员素质应符合规定要求，持有建设行政主管部门核发的“三类人员”安全考核合格证；负责所雇佣特种作业人员的培训、考核和取证，确保特种作业人员持证上岗，做到人证相符、证岗吻合；对所雇佣人员进行安全生产三级教育，组织班组开展安全教育、学习、宣传、检查、整改等活动；负责对所雇佣人员进行实名制管理（造花名册、提供身份证复印件等）。并将这些资料报发包人备查。承包人承担未进行实名制管理、未进行三级安全教育人员的一切安全责任，并且还将按照每发现违反一人次处200元惩罚性违约金进行处理。</w:t>
      </w:r>
    </w:p>
    <w:p>
      <w:pPr>
        <w:spacing w:line="360" w:lineRule="auto"/>
        <w:ind w:firstLine="570"/>
        <w:textAlignment w:val="baseline"/>
        <w:rPr>
          <w:rFonts w:ascii="宋体" w:hAnsi="宋体" w:cs="宋体"/>
          <w:szCs w:val="21"/>
        </w:rPr>
      </w:pPr>
      <w:r>
        <w:rPr>
          <w:rFonts w:hint="eastAsia" w:ascii="宋体" w:hAnsi="宋体" w:cs="宋体"/>
          <w:szCs w:val="21"/>
        </w:rPr>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pPr>
        <w:spacing w:line="360" w:lineRule="auto"/>
        <w:ind w:firstLine="570"/>
        <w:textAlignment w:val="baseline"/>
        <w:rPr>
          <w:rFonts w:ascii="宋体" w:hAnsi="宋体" w:cs="宋体"/>
          <w:szCs w:val="21"/>
        </w:rPr>
      </w:pPr>
      <w:r>
        <w:rPr>
          <w:rFonts w:hint="eastAsia" w:ascii="宋体" w:hAnsi="宋体" w:cs="宋体"/>
          <w:szCs w:val="21"/>
        </w:rPr>
        <w:t>7、承包人应及时提供施工安全所必须的，符合规定标准的劳动防护用品。操作人员上岗，必须按规定穿戴防护用品。施工负责人和安全管理人员应随时检查劳动防护用品的穿戴情况，不按规定穿戴防护用品的人员不得上岗。</w:t>
      </w:r>
    </w:p>
    <w:p>
      <w:pPr>
        <w:spacing w:line="360" w:lineRule="auto"/>
        <w:ind w:firstLine="340"/>
        <w:textAlignment w:val="baseline"/>
        <w:rPr>
          <w:rFonts w:ascii="宋体" w:hAnsi="宋体" w:cs="宋体"/>
          <w:szCs w:val="21"/>
        </w:rPr>
      </w:pPr>
      <w:r>
        <w:rPr>
          <w:rFonts w:hint="eastAsia" w:ascii="宋体" w:hAnsi="宋体" w:cs="宋体"/>
          <w:szCs w:val="21"/>
        </w:rPr>
        <w:t>8、所有施工机具设备、电气设备设施和高空作业的设备设施均应定期检查，并有负责人员的签字记录，保证其经常处于完好状态；不合格的机具、设备和劳动保护用品严禁使用、安装。</w:t>
      </w:r>
    </w:p>
    <w:p>
      <w:pPr>
        <w:spacing w:line="360" w:lineRule="auto"/>
        <w:ind w:firstLine="570"/>
        <w:textAlignment w:val="baseline"/>
        <w:rPr>
          <w:rFonts w:ascii="宋体" w:hAnsi="宋体" w:cs="宋体"/>
          <w:szCs w:val="21"/>
        </w:rPr>
      </w:pPr>
      <w:r>
        <w:rPr>
          <w:rFonts w:hint="eastAsia" w:ascii="宋体" w:hAnsi="宋体" w:cs="宋体"/>
          <w:szCs w:val="21"/>
        </w:rPr>
        <w:t>9、施工中采用新技术、新工艺、新设备、新材料时，必须制定相应的安全技术措施，施工现场必须具有相关的安全标志牌。</w:t>
      </w:r>
    </w:p>
    <w:p>
      <w:pPr>
        <w:spacing w:line="360" w:lineRule="auto"/>
        <w:ind w:firstLine="570"/>
        <w:textAlignment w:val="baseline"/>
        <w:rPr>
          <w:rFonts w:ascii="宋体" w:hAnsi="宋体" w:cs="宋体"/>
          <w:szCs w:val="21"/>
        </w:rPr>
      </w:pPr>
      <w:r>
        <w:rPr>
          <w:rFonts w:hint="eastAsia" w:ascii="宋体" w:hAnsi="宋体" w:cs="宋体"/>
          <w:szCs w:val="21"/>
        </w:rPr>
        <w:t>10、承包人应按照有关的国家标准、行业标准或者地方标准，在施工现场设置安全防护设施，并达到下列要求：</w:t>
      </w:r>
    </w:p>
    <w:p>
      <w:pPr>
        <w:spacing w:line="360" w:lineRule="auto"/>
        <w:ind w:firstLine="570"/>
        <w:textAlignment w:val="baseline"/>
        <w:rPr>
          <w:rFonts w:ascii="宋体" w:hAnsi="宋体" w:cs="宋体"/>
          <w:szCs w:val="21"/>
        </w:rPr>
      </w:pPr>
      <w:r>
        <w:rPr>
          <w:rFonts w:hint="eastAsia" w:ascii="宋体" w:hAnsi="宋体" w:cs="宋体"/>
          <w:szCs w:val="21"/>
        </w:rPr>
        <w:t>(1)根据建设工程的施工进度，及时调整和完善安全防护设施以及标志牌、标语等。</w:t>
      </w:r>
    </w:p>
    <w:p>
      <w:pPr>
        <w:spacing w:line="360" w:lineRule="auto"/>
        <w:ind w:firstLine="570"/>
        <w:textAlignment w:val="baseline"/>
        <w:rPr>
          <w:rFonts w:ascii="宋体" w:hAnsi="宋体" w:cs="宋体"/>
          <w:szCs w:val="21"/>
        </w:rPr>
      </w:pPr>
      <w:r>
        <w:rPr>
          <w:rFonts w:hint="eastAsia" w:ascii="宋体" w:hAnsi="宋体" w:cs="宋体"/>
          <w:szCs w:val="21"/>
        </w:rPr>
        <w:t>(2)在施工现场的事故易发区域，设置专项的安全防护设施，并设立醒目的警示标志。</w:t>
      </w:r>
    </w:p>
    <w:p>
      <w:pPr>
        <w:spacing w:line="360" w:lineRule="auto"/>
        <w:ind w:firstLine="570"/>
        <w:textAlignment w:val="baseline"/>
        <w:rPr>
          <w:rFonts w:ascii="宋体" w:hAnsi="宋体" w:cs="宋体"/>
          <w:szCs w:val="21"/>
        </w:rPr>
      </w:pPr>
      <w:r>
        <w:rPr>
          <w:rFonts w:hint="eastAsia" w:ascii="宋体" w:hAnsi="宋体" w:cs="宋体"/>
          <w:szCs w:val="21"/>
        </w:rPr>
        <w:t>(3)根据季节或者天气特点，设置或者调整专项的安全防护设施，并进行相关的安全检查。</w:t>
      </w:r>
    </w:p>
    <w:p>
      <w:pPr>
        <w:spacing w:line="360" w:lineRule="auto"/>
        <w:ind w:firstLine="420" w:firstLineChars="200"/>
        <w:textAlignment w:val="baseline"/>
        <w:rPr>
          <w:rFonts w:ascii="宋体" w:hAnsi="宋体" w:cs="宋体"/>
          <w:szCs w:val="21"/>
        </w:rPr>
      </w:pPr>
      <w:r>
        <w:rPr>
          <w:rFonts w:hint="eastAsia" w:ascii="宋体" w:hAnsi="宋体" w:cs="宋体"/>
          <w:szCs w:val="21"/>
        </w:rPr>
        <w:t>（4）建设工程涉及到公共安全，施工单位应按照有关规定，进行全封闭施工，在施工现场周围设置专门的公共安全防护设施。</w:t>
      </w:r>
    </w:p>
    <w:p>
      <w:pPr>
        <w:spacing w:line="360" w:lineRule="auto"/>
        <w:ind w:firstLine="570"/>
        <w:textAlignment w:val="baseline"/>
        <w:rPr>
          <w:rFonts w:ascii="宋体" w:hAnsi="宋体" w:cs="宋体"/>
          <w:szCs w:val="21"/>
        </w:rPr>
      </w:pPr>
      <w:r>
        <w:rPr>
          <w:rFonts w:hint="eastAsia" w:ascii="宋体" w:hAnsi="宋体" w:cs="宋体"/>
          <w:szCs w:val="21"/>
        </w:rPr>
        <w:t>11、承包人应遵守施工现场电气安全保护和防火安全的有关规定，并达到下列要求：</w:t>
      </w:r>
    </w:p>
    <w:p>
      <w:pPr>
        <w:spacing w:line="360" w:lineRule="auto"/>
        <w:ind w:firstLine="570"/>
        <w:textAlignment w:val="baseline"/>
        <w:rPr>
          <w:rFonts w:ascii="宋体" w:hAnsi="宋体" w:cs="宋体"/>
          <w:szCs w:val="21"/>
        </w:rPr>
      </w:pPr>
      <w:r>
        <w:rPr>
          <w:rFonts w:hint="eastAsia" w:ascii="宋体" w:hAnsi="宋体" w:cs="宋体"/>
          <w:szCs w:val="21"/>
        </w:rPr>
        <w:t>(一)保持变配电设施和输配电线路处于安全、可靠的可使用状态。</w:t>
      </w:r>
    </w:p>
    <w:p>
      <w:pPr>
        <w:spacing w:line="360" w:lineRule="auto"/>
        <w:ind w:firstLine="570"/>
        <w:textAlignment w:val="baseline"/>
        <w:rPr>
          <w:rFonts w:ascii="宋体" w:hAnsi="宋体" w:cs="宋体"/>
          <w:szCs w:val="21"/>
        </w:rPr>
      </w:pPr>
      <w:r>
        <w:rPr>
          <w:rFonts w:hint="eastAsia" w:ascii="宋体" w:hAnsi="宋体" w:cs="宋体"/>
          <w:szCs w:val="21"/>
        </w:rPr>
        <w:t>(二)确保用火作业符合消防技术标准和规范，并保证消防设施的完好、有效。</w:t>
      </w:r>
    </w:p>
    <w:p>
      <w:pPr>
        <w:spacing w:line="360" w:lineRule="auto"/>
        <w:ind w:firstLine="573"/>
        <w:textAlignment w:val="baseline"/>
        <w:rPr>
          <w:rFonts w:ascii="宋体" w:hAnsi="宋体" w:cs="宋体"/>
          <w:szCs w:val="21"/>
        </w:rPr>
      </w:pPr>
      <w:r>
        <w:rPr>
          <w:rFonts w:hint="eastAsia" w:ascii="宋体" w:hAnsi="宋体" w:cs="宋体"/>
          <w:szCs w:val="21"/>
        </w:rPr>
        <w:t>12、承包人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pPr>
        <w:adjustRightInd w:val="0"/>
        <w:spacing w:line="360" w:lineRule="auto"/>
        <w:ind w:firstLine="420" w:firstLineChars="200"/>
        <w:rPr>
          <w:rFonts w:ascii="宋体" w:hAnsi="宋体" w:cs="宋体"/>
          <w:szCs w:val="21"/>
        </w:rPr>
      </w:pPr>
      <w:r>
        <w:rPr>
          <w:rFonts w:hint="eastAsia" w:ascii="宋体" w:hAnsi="宋体" w:cs="宋体"/>
          <w:szCs w:val="21"/>
        </w:rPr>
        <w:t xml:space="preserve">三、事故调查处理 </w:t>
      </w:r>
    </w:p>
    <w:p>
      <w:pPr>
        <w:adjustRightInd w:val="0"/>
        <w:spacing w:line="360" w:lineRule="auto"/>
        <w:ind w:firstLine="420" w:firstLineChars="200"/>
        <w:rPr>
          <w:rFonts w:ascii="宋体" w:hAnsi="宋体" w:cs="宋体"/>
          <w:szCs w:val="21"/>
        </w:rPr>
      </w:pPr>
      <w:r>
        <w:rPr>
          <w:rFonts w:hint="eastAsia" w:ascii="宋体" w:hAnsi="宋体" w:cs="宋体"/>
          <w:szCs w:val="21"/>
        </w:rPr>
        <w:t xml:space="preserve">1.发生因工重伤或死亡事故，由承包人具体实施，按照规定报告有关部门进行调查，查清事故原因，分清事故责任，提出对事故责任者的处理意见，其中伤者救治费用应承包人先行垫付，待事故处理后按责任大小分担。 </w:t>
      </w:r>
    </w:p>
    <w:p>
      <w:pPr>
        <w:adjustRightInd w:val="0"/>
        <w:spacing w:line="360" w:lineRule="auto"/>
        <w:ind w:firstLine="420" w:firstLineChars="200"/>
        <w:rPr>
          <w:rFonts w:ascii="宋体" w:hAnsi="宋体" w:cs="宋体"/>
          <w:szCs w:val="21"/>
        </w:rPr>
      </w:pPr>
      <w:r>
        <w:rPr>
          <w:rFonts w:hint="eastAsia" w:ascii="宋体" w:hAnsi="宋体" w:cs="宋体"/>
          <w:szCs w:val="21"/>
        </w:rPr>
        <w:t xml:space="preserve">2. 承包人违章指挥、不按照要求健全安全防护设施、不按规定进行安全技术交底及组织施工，造成伤亡事故的，承担相应后果和经济损失。 </w:t>
      </w:r>
    </w:p>
    <w:p>
      <w:pPr>
        <w:adjustRightInd w:val="0"/>
        <w:spacing w:line="360" w:lineRule="auto"/>
        <w:ind w:firstLine="420" w:firstLineChars="200"/>
        <w:rPr>
          <w:rFonts w:ascii="宋体" w:hAnsi="宋体" w:cs="宋体"/>
          <w:szCs w:val="21"/>
        </w:rPr>
      </w:pPr>
      <w:r>
        <w:rPr>
          <w:rFonts w:hint="eastAsia" w:ascii="宋体" w:hAnsi="宋体" w:cs="宋体"/>
          <w:szCs w:val="21"/>
        </w:rPr>
        <w:t xml:space="preserve">3.承包人不服从发包人安全生产管理、违章作业、冒险进入施工禁区及损坏安全防护设施、不按规定进行安全技术交底及组织施工，造成伤亡事故的，承担相应后果和经济损失。 </w:t>
      </w:r>
    </w:p>
    <w:p>
      <w:pPr>
        <w:adjustRightInd w:val="0"/>
        <w:spacing w:line="360" w:lineRule="auto"/>
        <w:ind w:firstLine="420" w:firstLineChars="200"/>
        <w:rPr>
          <w:rFonts w:ascii="宋体" w:hAnsi="宋体" w:cs="宋体"/>
          <w:szCs w:val="21"/>
        </w:rPr>
      </w:pPr>
      <w:r>
        <w:rPr>
          <w:rFonts w:hint="eastAsia" w:ascii="宋体" w:hAnsi="宋体" w:cs="宋体"/>
          <w:szCs w:val="21"/>
        </w:rPr>
        <w:t>4.由于承包人主要责任造成的伤亡事故，发包人有权要求承包人进行经济赔偿。由于发包人主要责任造成的伤亡事故，承包人有权要求发包人承担违约责任。</w:t>
      </w:r>
    </w:p>
    <w:p>
      <w:pPr>
        <w:adjustRightInd w:val="0"/>
        <w:spacing w:line="360" w:lineRule="auto"/>
        <w:ind w:firstLine="420" w:firstLineChars="200"/>
        <w:rPr>
          <w:rFonts w:ascii="宋体" w:hAnsi="宋体" w:cs="宋体"/>
          <w:szCs w:val="21"/>
        </w:rPr>
      </w:pPr>
      <w:r>
        <w:rPr>
          <w:rFonts w:hint="eastAsia" w:ascii="宋体" w:hAnsi="宋体" w:cs="宋体"/>
          <w:szCs w:val="21"/>
        </w:rPr>
        <w:t>5.在施工期间，承包人确保按发包人下达的施工安全技术交底执行，严禁违章操作，以确保安全施工；同时须按照发包人要求完成现场各种安全设施的搭建和防护，并做好标识。如承包人原因造成的人员（含第三方人员）伤亡、财产损失事故，责任均由承包人承担（包括赔偿费用和伤亡指标），发包人并不因此承担责任。</w:t>
      </w:r>
    </w:p>
    <w:p>
      <w:pPr>
        <w:adjustRightInd w:val="0"/>
        <w:spacing w:line="360" w:lineRule="auto"/>
        <w:ind w:firstLine="420" w:firstLineChars="200"/>
        <w:rPr>
          <w:rFonts w:ascii="宋体" w:hAnsi="宋体" w:cs="宋体"/>
          <w:szCs w:val="21"/>
        </w:rPr>
      </w:pPr>
      <w:r>
        <w:rPr>
          <w:rFonts w:hint="eastAsia" w:ascii="宋体" w:hAnsi="宋体" w:cs="宋体"/>
          <w:szCs w:val="21"/>
        </w:rPr>
        <w:t>四、其他</w:t>
      </w:r>
    </w:p>
    <w:p>
      <w:pPr>
        <w:adjustRightInd w:val="0"/>
        <w:spacing w:line="360" w:lineRule="auto"/>
        <w:ind w:firstLine="420" w:firstLineChars="200"/>
        <w:rPr>
          <w:rFonts w:ascii="宋体" w:hAnsi="宋体" w:cs="宋体"/>
          <w:szCs w:val="21"/>
        </w:rPr>
      </w:pPr>
      <w:r>
        <w:rPr>
          <w:rFonts w:hint="eastAsia" w:ascii="宋体" w:hAnsi="宋体" w:cs="宋体"/>
          <w:szCs w:val="21"/>
        </w:rPr>
        <w:t>本安全生产合同为施工合同的附件，由发包人、承包人双方签署且加盖公章后生效，全部工程竣工验收后失效。</w:t>
      </w:r>
    </w:p>
    <w:p>
      <w:pPr>
        <w:adjustRightInd w:val="0"/>
        <w:spacing w:line="360" w:lineRule="auto"/>
        <w:ind w:firstLine="420" w:firstLineChars="200"/>
        <w:rPr>
          <w:rFonts w:ascii="宋体" w:hAnsi="宋体" w:cs="宋体"/>
          <w:szCs w:val="21"/>
        </w:rPr>
      </w:pPr>
      <w:r>
        <w:rPr>
          <w:rFonts w:hint="eastAsia" w:ascii="宋体" w:hAnsi="宋体" w:cs="宋体"/>
          <w:szCs w:val="21"/>
        </w:rPr>
        <w:t xml:space="preserve">发包人：中机中联工程有限公司           承包人：        </w:t>
      </w:r>
    </w:p>
    <w:p>
      <w:pPr>
        <w:snapToGrid w:val="0"/>
        <w:spacing w:line="360" w:lineRule="auto"/>
        <w:ind w:firstLine="420" w:firstLineChars="200"/>
        <w:rPr>
          <w:rFonts w:ascii="宋体" w:hAnsi="宋体" w:cs="宋体"/>
          <w:szCs w:val="21"/>
        </w:rPr>
      </w:pPr>
      <w:r>
        <w:rPr>
          <w:rFonts w:hint="eastAsia" w:ascii="宋体" w:hAnsi="宋体" w:cs="宋体"/>
          <w:szCs w:val="21"/>
        </w:rPr>
        <w:t>项目负责人：                           项目负责人：</w:t>
      </w:r>
    </w:p>
    <w:p>
      <w:pPr>
        <w:spacing w:line="360" w:lineRule="auto"/>
        <w:rPr>
          <w:rFonts w:ascii="宋体" w:hAnsi="宋体" w:cs="宋体"/>
          <w:szCs w:val="21"/>
        </w:rPr>
      </w:pPr>
      <w:r>
        <w:rPr>
          <w:rFonts w:hint="eastAsia" w:ascii="宋体" w:hAnsi="宋体" w:cs="宋体"/>
          <w:szCs w:val="21"/>
        </w:rPr>
        <w:t xml:space="preserve">                                           签署日期：2018年    月    日         </w:t>
      </w:r>
    </w:p>
    <w:p>
      <w:pPr>
        <w:spacing w:line="360" w:lineRule="auto"/>
        <w:rPr>
          <w:rFonts w:ascii="宋体" w:hAnsi="宋体" w:cs="宋体"/>
          <w:b/>
          <w:bCs/>
          <w:kern w:val="0"/>
          <w:szCs w:val="21"/>
        </w:rPr>
      </w:pPr>
      <w:r>
        <w:rPr>
          <w:rFonts w:hint="eastAsia" w:ascii="宋体" w:hAnsi="宋体" w:cs="宋体"/>
          <w:b/>
          <w:bCs/>
          <w:sz w:val="32"/>
          <w:szCs w:val="32"/>
        </w:rPr>
        <w:br w:type="page"/>
      </w:r>
    </w:p>
    <w:p>
      <w:pPr>
        <w:spacing w:line="360" w:lineRule="auto"/>
        <w:jc w:val="left"/>
        <w:rPr>
          <w:rFonts w:ascii="宋体" w:hAnsi="宋体" w:cs="宋体"/>
          <w:b/>
          <w:sz w:val="28"/>
          <w:szCs w:val="28"/>
        </w:rPr>
        <w:sectPr>
          <w:pgSz w:w="11906" w:h="16838"/>
          <w:pgMar w:top="1418" w:right="1361" w:bottom="1418" w:left="1418" w:header="851" w:footer="992" w:gutter="0"/>
          <w:cols w:space="720" w:num="1"/>
          <w:docGrid w:linePitch="312" w:charSpace="0"/>
        </w:sectPr>
      </w:pPr>
    </w:p>
    <w:p>
      <w:pPr>
        <w:spacing w:line="360" w:lineRule="auto"/>
        <w:jc w:val="left"/>
        <w:rPr>
          <w:rFonts w:ascii="宋体" w:hAnsi="宋体" w:cs="宋体"/>
          <w:b/>
          <w:sz w:val="28"/>
          <w:szCs w:val="28"/>
        </w:rPr>
      </w:pPr>
      <w:r>
        <w:rPr>
          <w:rFonts w:hint="eastAsia" w:ascii="宋体" w:hAnsi="宋体" w:cs="宋体"/>
          <w:b/>
          <w:sz w:val="28"/>
          <w:szCs w:val="28"/>
        </w:rPr>
        <w:t>附件8：</w:t>
      </w:r>
    </w:p>
    <w:p>
      <w:pPr>
        <w:spacing w:line="360" w:lineRule="auto"/>
        <w:jc w:val="center"/>
        <w:rPr>
          <w:rFonts w:ascii="宋体" w:hAnsi="宋体" w:cs="宋体"/>
          <w:b/>
          <w:bCs/>
          <w:sz w:val="28"/>
          <w:szCs w:val="28"/>
        </w:rPr>
      </w:pPr>
      <w:r>
        <w:rPr>
          <w:rFonts w:hint="eastAsia" w:ascii="宋体" w:hAnsi="宋体" w:cs="宋体"/>
          <w:b/>
          <w:bCs/>
          <w:sz w:val="28"/>
          <w:szCs w:val="28"/>
        </w:rPr>
        <w:t>工程项目档案管理协议</w:t>
      </w:r>
    </w:p>
    <w:p>
      <w:pPr>
        <w:spacing w:line="360" w:lineRule="auto"/>
        <w:ind w:firstLine="420" w:firstLineChars="200"/>
        <w:rPr>
          <w:rFonts w:ascii="宋体" w:hAnsi="宋体" w:cs="宋体"/>
          <w:szCs w:val="21"/>
          <w:u w:val="single"/>
        </w:rPr>
      </w:pPr>
      <w:r>
        <w:rPr>
          <w:rFonts w:hint="eastAsia" w:ascii="宋体" w:hAnsi="宋体" w:cs="宋体"/>
          <w:szCs w:val="21"/>
        </w:rPr>
        <w:t>发包人（全称）：</w:t>
      </w:r>
      <w:r>
        <w:rPr>
          <w:rFonts w:hint="eastAsia" w:ascii="宋体" w:hAnsi="宋体" w:cs="宋体"/>
          <w:szCs w:val="21"/>
          <w:u w:val="single"/>
        </w:rPr>
        <w:t>中机中联工程有限公司</w:t>
      </w:r>
    </w:p>
    <w:p>
      <w:pPr>
        <w:spacing w:line="360" w:lineRule="auto"/>
        <w:ind w:firstLine="420" w:firstLineChars="200"/>
        <w:rPr>
          <w:rFonts w:ascii="宋体" w:hAnsi="宋体" w:cs="宋体"/>
          <w:szCs w:val="21"/>
        </w:rPr>
      </w:pPr>
      <w:r>
        <w:rPr>
          <w:rFonts w:hint="eastAsia" w:ascii="宋体" w:hAnsi="宋体" w:cs="宋体"/>
          <w:szCs w:val="21"/>
        </w:rPr>
        <w:t>承包人（全称）：</w:t>
      </w:r>
    </w:p>
    <w:p>
      <w:pPr>
        <w:spacing w:line="360" w:lineRule="auto"/>
        <w:ind w:firstLine="420" w:firstLineChars="200"/>
        <w:rPr>
          <w:rFonts w:ascii="宋体" w:hAnsi="宋体" w:cs="宋体"/>
          <w:szCs w:val="21"/>
        </w:rPr>
      </w:pPr>
      <w:r>
        <w:rPr>
          <w:rFonts w:hint="eastAsia" w:ascii="宋体" w:hAnsi="宋体" w:cs="宋体"/>
          <w:szCs w:val="21"/>
        </w:rPr>
        <w:t>为了使分包人所承建工程项目竣工档案按照合同要求保质、保量，与工程进度同步完成。发包人和分包人双方本着友好协商的原则达成如下协议：</w:t>
      </w:r>
    </w:p>
    <w:p>
      <w:pPr>
        <w:spacing w:line="360" w:lineRule="auto"/>
        <w:ind w:firstLine="420" w:firstLineChars="200"/>
        <w:rPr>
          <w:rFonts w:ascii="宋体" w:hAnsi="宋体" w:cs="宋体"/>
          <w:szCs w:val="21"/>
        </w:rPr>
      </w:pPr>
      <w:r>
        <w:rPr>
          <w:rFonts w:hint="eastAsia" w:ascii="宋体" w:hAnsi="宋体" w:cs="宋体"/>
          <w:szCs w:val="21"/>
        </w:rPr>
        <w:t>一、房建类工程项目档案用表使用渝建发[2005]226号文中《建设工程技术用表》，并按照《建设工程文件归档内容一览表》组卷；市政类工程项目档案用表使用渝建发[2007]1号《重庆市市政工程施工技术用表》，并按照《重庆市市政工程文件归档内容一览表》组卷。</w:t>
      </w:r>
    </w:p>
    <w:p>
      <w:pPr>
        <w:spacing w:line="360" w:lineRule="auto"/>
        <w:ind w:firstLine="420" w:firstLineChars="200"/>
        <w:rPr>
          <w:rFonts w:ascii="宋体" w:hAnsi="宋体" w:cs="宋体"/>
          <w:szCs w:val="21"/>
        </w:rPr>
      </w:pPr>
      <w:r>
        <w:rPr>
          <w:rFonts w:hint="eastAsia" w:ascii="宋体" w:hAnsi="宋体" w:cs="宋体"/>
          <w:szCs w:val="21"/>
        </w:rPr>
        <w:t>二、承包人必须确保工程档案资料与工程实际进度同步。工程分部/竣工验收前7日，必须将工程资料报送监理及发包人审查资料的及时、完整和真实性。在未取得分部/竣工工程档案审核合格通知前，不得提请分部/竣工验收。</w:t>
      </w:r>
    </w:p>
    <w:p>
      <w:pPr>
        <w:spacing w:line="360" w:lineRule="auto"/>
        <w:ind w:firstLine="420" w:firstLineChars="200"/>
        <w:rPr>
          <w:rFonts w:ascii="宋体" w:hAnsi="宋体" w:cs="宋体"/>
          <w:szCs w:val="21"/>
        </w:rPr>
      </w:pPr>
      <w:r>
        <w:rPr>
          <w:rFonts w:hint="eastAsia" w:ascii="宋体" w:hAnsi="宋体" w:cs="宋体"/>
          <w:szCs w:val="21"/>
        </w:rPr>
        <w:t>三、承包人必须配备具有城建档案员资质的专业档案人员负责施工全过程档案的收集整理组卷，承包人委派的项目档案员未经发包人同意不得随意变更。工程初步验收后20个工作日内完善档案验收后移交发包人归档。若因承包人原因未按期通过单位工程档案验收，影响竣工备案，按照逾期1000元/天向发包人缴纳违约金，以此类推。</w:t>
      </w:r>
    </w:p>
    <w:p>
      <w:pPr>
        <w:spacing w:line="360" w:lineRule="auto"/>
        <w:ind w:firstLine="420" w:firstLineChars="200"/>
        <w:rPr>
          <w:rFonts w:ascii="宋体" w:hAnsi="宋体" w:cs="宋体"/>
          <w:szCs w:val="21"/>
        </w:rPr>
      </w:pPr>
      <w:r>
        <w:rPr>
          <w:rFonts w:hint="eastAsia" w:ascii="宋体" w:hAnsi="宋体" w:cs="宋体"/>
          <w:szCs w:val="21"/>
        </w:rPr>
        <w:t>四、承包人必须在发包人规定的时限内提供发包人办理开工/竣工备案手续所需的所有资料（资料具体内容及交付时限以总包单位工程部书面通知为准）。</w:t>
      </w:r>
    </w:p>
    <w:p>
      <w:pPr>
        <w:spacing w:line="360" w:lineRule="auto"/>
        <w:ind w:firstLine="420" w:firstLineChars="200"/>
        <w:rPr>
          <w:rFonts w:ascii="宋体" w:hAnsi="宋体" w:cs="宋体"/>
          <w:szCs w:val="21"/>
        </w:rPr>
      </w:pPr>
      <w:r>
        <w:rPr>
          <w:rFonts w:hint="eastAsia" w:ascii="宋体" w:hAnsi="宋体" w:cs="宋体"/>
          <w:szCs w:val="21"/>
        </w:rPr>
        <w:t>五、本同作为</w:t>
      </w:r>
      <w:r>
        <w:rPr>
          <w:rFonts w:hint="eastAsia" w:ascii="宋体" w:hAnsi="宋体" w:cs="宋体"/>
          <w:szCs w:val="21"/>
          <w:u w:val="single"/>
        </w:rPr>
        <w:t xml:space="preserve"> 西彭组团D63、D64地块厂房项目钢结构工程专业分包</w:t>
      </w:r>
      <w:r>
        <w:rPr>
          <w:rFonts w:hint="eastAsia" w:ascii="宋体" w:hAnsi="宋体" w:cs="宋体"/>
          <w:szCs w:val="21"/>
        </w:rPr>
        <w:t>合同附件，与工程合同具有同等法律效力。</w:t>
      </w:r>
    </w:p>
    <w:p>
      <w:pPr>
        <w:spacing w:line="360" w:lineRule="auto"/>
        <w:rPr>
          <w:rFonts w:ascii="宋体" w:hAnsi="宋体" w:cs="宋体"/>
          <w:szCs w:val="21"/>
        </w:rPr>
      </w:pPr>
      <w:r>
        <w:rPr>
          <w:rFonts w:hint="eastAsia" w:ascii="宋体" w:hAnsi="宋体" w:cs="宋体"/>
          <w:szCs w:val="21"/>
        </w:rPr>
        <w:t xml:space="preserve">     以下无正文</w:t>
      </w:r>
    </w:p>
    <w:p>
      <w:pPr>
        <w:spacing w:line="360" w:lineRule="auto"/>
        <w:ind w:firstLine="525" w:firstLineChars="250"/>
        <w:rPr>
          <w:rFonts w:ascii="宋体" w:hAnsi="宋体" w:cs="宋体"/>
          <w:szCs w:val="21"/>
        </w:rPr>
      </w:pPr>
    </w:p>
    <w:p>
      <w:pPr>
        <w:spacing w:line="360" w:lineRule="auto"/>
        <w:rPr>
          <w:rFonts w:ascii="宋体" w:hAnsi="宋体" w:cs="宋体"/>
          <w:szCs w:val="21"/>
        </w:rPr>
      </w:pPr>
      <w:r>
        <w:rPr>
          <w:rFonts w:hint="eastAsia" w:ascii="宋体" w:hAnsi="宋体" w:cs="宋体"/>
          <w:szCs w:val="21"/>
        </w:rPr>
        <w:t xml:space="preserve">发包人（盖章）：中机中联工程有限公司  </w:t>
      </w:r>
      <w:r>
        <w:rPr>
          <w:rFonts w:ascii="宋体" w:hAnsi="宋体" w:cs="宋体"/>
          <w:szCs w:val="21"/>
        </w:rPr>
        <w:t xml:space="preserve">  </w:t>
      </w:r>
      <w:r>
        <w:rPr>
          <w:rFonts w:hint="eastAsia" w:ascii="宋体" w:hAnsi="宋体" w:cs="宋体"/>
          <w:szCs w:val="21"/>
        </w:rPr>
        <w:t>承包人（盖章）：</w:t>
      </w:r>
    </w:p>
    <w:p>
      <w:pPr>
        <w:spacing w:line="360" w:lineRule="auto"/>
        <w:rPr>
          <w:rFonts w:ascii="宋体" w:hAnsi="宋体" w:cs="宋体"/>
          <w:szCs w:val="21"/>
        </w:rPr>
      </w:pPr>
      <w:r>
        <w:rPr>
          <w:rFonts w:hint="eastAsia" w:ascii="宋体" w:hAnsi="宋体" w:cs="宋体"/>
          <w:szCs w:val="21"/>
        </w:rPr>
        <w:t xml:space="preserve">法定代表人（签字）：                   </w:t>
      </w:r>
      <w:r>
        <w:rPr>
          <w:rFonts w:ascii="宋体" w:hAnsi="宋体" w:cs="宋体"/>
          <w:szCs w:val="21"/>
        </w:rPr>
        <w:t xml:space="preserve"> </w:t>
      </w:r>
      <w:r>
        <w:rPr>
          <w:rFonts w:hint="eastAsia" w:ascii="宋体" w:hAnsi="宋体" w:cs="宋体"/>
          <w:szCs w:val="21"/>
        </w:rPr>
        <w:t>法定代表人（签字）：</w:t>
      </w:r>
    </w:p>
    <w:p>
      <w:pPr>
        <w:spacing w:line="360" w:lineRule="auto"/>
        <w:rPr>
          <w:rFonts w:ascii="宋体" w:hAnsi="宋体" w:cs="宋体"/>
          <w:szCs w:val="21"/>
        </w:rPr>
      </w:pPr>
      <w:r>
        <w:rPr>
          <w:rFonts w:hint="eastAsia" w:ascii="宋体" w:hAnsi="宋体" w:cs="宋体"/>
          <w:szCs w:val="21"/>
        </w:rPr>
        <w:t>或其委托代理人（签字）：                或其委托代理人（签字）：</w:t>
      </w:r>
    </w:p>
    <w:p>
      <w:pPr>
        <w:spacing w:line="360" w:lineRule="auto"/>
        <w:rPr>
          <w:rFonts w:ascii="宋体" w:hAnsi="宋体" w:cs="宋体"/>
          <w:szCs w:val="21"/>
        </w:rPr>
      </w:pPr>
      <w:r>
        <w:rPr>
          <w:rFonts w:hint="eastAsia" w:ascii="宋体" w:hAnsi="宋体" w:cs="宋体"/>
          <w:szCs w:val="21"/>
        </w:rPr>
        <w:t xml:space="preserve">年    月    日 </w:t>
      </w:r>
    </w:p>
    <w:p>
      <w:pPr>
        <w:spacing w:line="360" w:lineRule="auto"/>
        <w:rPr>
          <w:rFonts w:ascii="宋体" w:hAnsi="宋体" w:cs="宋体"/>
          <w:b/>
          <w:bCs/>
          <w:kern w:val="0"/>
          <w:szCs w:val="21"/>
        </w:rPr>
      </w:pPr>
      <w:r>
        <w:rPr>
          <w:rFonts w:hint="eastAsia" w:ascii="宋体" w:hAnsi="宋体" w:cs="宋体"/>
          <w:b/>
          <w:bCs/>
          <w:sz w:val="32"/>
          <w:szCs w:val="32"/>
        </w:rPr>
        <w:br w:type="page"/>
      </w:r>
    </w:p>
    <w:p>
      <w:pPr>
        <w:spacing w:line="360" w:lineRule="auto"/>
        <w:jc w:val="left"/>
        <w:rPr>
          <w:rFonts w:ascii="宋体" w:hAnsi="宋体" w:cs="宋体"/>
          <w:szCs w:val="21"/>
        </w:rPr>
      </w:pPr>
      <w:r>
        <w:rPr>
          <w:rFonts w:hint="eastAsia" w:ascii="宋体" w:hAnsi="宋体" w:cs="宋体"/>
          <w:b/>
          <w:bCs/>
          <w:kern w:val="0"/>
          <w:sz w:val="28"/>
          <w:szCs w:val="28"/>
        </w:rPr>
        <w:t xml:space="preserve">附件9：   </w:t>
      </w:r>
    </w:p>
    <w:p>
      <w:pPr>
        <w:spacing w:line="360" w:lineRule="auto"/>
        <w:jc w:val="left"/>
        <w:rPr>
          <w:rFonts w:ascii="宋体" w:hAnsi="宋体" w:cs="宋体"/>
          <w:b/>
          <w:sz w:val="32"/>
          <w:szCs w:val="32"/>
        </w:rPr>
      </w:pPr>
      <w:r>
        <w:rPr>
          <w:rFonts w:hint="eastAsia" w:ascii="宋体" w:hAnsi="宋体" w:cs="宋体"/>
          <w:b/>
          <w:sz w:val="32"/>
          <w:szCs w:val="32"/>
        </w:rPr>
        <w:t>乙方总包管理班子主要人员名单</w:t>
      </w:r>
    </w:p>
    <w:p>
      <w:pPr>
        <w:spacing w:line="360" w:lineRule="auto"/>
        <w:jc w:val="left"/>
        <w:rPr>
          <w:rFonts w:ascii="宋体" w:hAnsi="宋体" w:cs="宋体"/>
          <w:b/>
          <w:sz w:val="32"/>
          <w:szCs w:val="32"/>
        </w:rPr>
      </w:pPr>
    </w:p>
    <w:p>
      <w:pPr>
        <w:spacing w:line="360" w:lineRule="auto"/>
        <w:jc w:val="left"/>
        <w:rPr>
          <w:rFonts w:ascii="宋体" w:hAnsi="宋体" w:cs="宋体"/>
          <w:b/>
          <w:sz w:val="32"/>
          <w:szCs w:val="32"/>
        </w:rPr>
      </w:pPr>
    </w:p>
    <w:p>
      <w:pPr>
        <w:spacing w:line="360" w:lineRule="auto"/>
        <w:jc w:val="left"/>
        <w:rPr>
          <w:rFonts w:ascii="宋体" w:hAnsi="宋体" w:cs="宋体"/>
          <w:b/>
          <w:sz w:val="32"/>
          <w:szCs w:val="32"/>
        </w:rPr>
      </w:pPr>
      <w:r>
        <w:rPr>
          <w:rFonts w:hint="eastAsia" w:ascii="宋体" w:hAnsi="宋体" w:cs="宋体"/>
          <w:b/>
          <w:sz w:val="32"/>
          <w:szCs w:val="32"/>
        </w:rPr>
        <w:t>附件10：乙方单位资料</w:t>
      </w:r>
    </w:p>
    <w:p>
      <w:pPr>
        <w:spacing w:line="360" w:lineRule="auto"/>
        <w:jc w:val="left"/>
        <w:rPr>
          <w:rFonts w:ascii="宋体" w:hAnsi="宋体" w:cs="宋体"/>
          <w:szCs w:val="21"/>
        </w:rPr>
      </w:pPr>
      <w:r>
        <w:rPr>
          <w:rFonts w:hint="eastAsia" w:ascii="宋体" w:hAnsi="宋体" w:cs="宋体"/>
          <w:szCs w:val="21"/>
        </w:rPr>
        <w:t>乙方单位营业执照复印件、资质证书复印件、安全生产许可证复印件、签订合同人的授权委托书及身份证复印件（如法人签订合同，附法人身份证明）、银行开户许可证。</w:t>
      </w:r>
    </w:p>
    <w:p>
      <w:pPr>
        <w:spacing w:line="360" w:lineRule="auto"/>
        <w:jc w:val="left"/>
        <w:rPr>
          <w:rFonts w:ascii="宋体" w:hAnsi="宋体" w:cs="宋体"/>
          <w:szCs w:val="21"/>
        </w:rPr>
      </w:pPr>
    </w:p>
    <w:p>
      <w:pPr>
        <w:spacing w:line="360" w:lineRule="auto"/>
        <w:jc w:val="left"/>
        <w:rPr>
          <w:rFonts w:ascii="宋体" w:hAnsi="宋体" w:cs="宋体"/>
          <w:szCs w:val="21"/>
        </w:rPr>
      </w:pPr>
    </w:p>
    <w:p>
      <w:pPr>
        <w:spacing w:line="360" w:lineRule="auto"/>
        <w:jc w:val="left"/>
        <w:rPr>
          <w:rFonts w:ascii="宋体" w:hAnsi="宋体" w:cs="宋体"/>
          <w:b/>
          <w:sz w:val="32"/>
          <w:szCs w:val="32"/>
        </w:rPr>
      </w:pPr>
      <w:r>
        <w:rPr>
          <w:rFonts w:hint="eastAsia" w:ascii="宋体" w:hAnsi="宋体" w:cs="宋体"/>
          <w:b/>
          <w:sz w:val="32"/>
          <w:szCs w:val="32"/>
        </w:rPr>
        <w:t>附件11：其他（商务谈判等）</w:t>
      </w:r>
    </w:p>
    <w:p>
      <w:pPr>
        <w:spacing w:line="360" w:lineRule="auto"/>
        <w:ind w:left="735" w:hanging="735" w:hangingChars="350"/>
        <w:jc w:val="left"/>
        <w:rPr>
          <w:rFonts w:ascii="宋体" w:hAnsi="宋体" w:cs="宋体"/>
          <w:szCs w:val="21"/>
        </w:rPr>
      </w:pPr>
    </w:p>
    <w:p>
      <w:pPr>
        <w:spacing w:line="360" w:lineRule="auto"/>
        <w:ind w:left="735" w:hanging="735" w:hangingChars="350"/>
        <w:jc w:val="left"/>
        <w:rPr>
          <w:rFonts w:ascii="宋体" w:hAnsi="宋体" w:cs="宋体"/>
          <w:szCs w:val="21"/>
        </w:rPr>
      </w:pPr>
    </w:p>
    <w:p>
      <w:pPr>
        <w:spacing w:line="360" w:lineRule="auto"/>
        <w:jc w:val="left"/>
        <w:rPr>
          <w:rFonts w:ascii="宋体" w:hAnsi="宋体" w:cs="宋体"/>
          <w:b/>
          <w:sz w:val="32"/>
          <w:szCs w:val="32"/>
        </w:rPr>
        <w:sectPr>
          <w:pgSz w:w="11906" w:h="16838"/>
          <w:pgMar w:top="1418" w:right="1361" w:bottom="1418" w:left="1418" w:header="851" w:footer="992" w:gutter="0"/>
          <w:cols w:space="720" w:num="1"/>
          <w:docGrid w:linePitch="312" w:charSpace="0"/>
        </w:sectPr>
      </w:pPr>
      <w:r>
        <w:rPr>
          <w:rFonts w:hint="eastAsia" w:ascii="宋体" w:hAnsi="宋体" w:cs="宋体"/>
          <w:b/>
          <w:sz w:val="32"/>
          <w:szCs w:val="32"/>
        </w:rPr>
        <w:t>附件12：乙方投标报价书</w:t>
      </w:r>
    </w:p>
    <w:bookmarkEnd w:id="145"/>
    <w:bookmarkEnd w:id="146"/>
    <w:p>
      <w:pPr>
        <w:spacing w:line="480" w:lineRule="exact"/>
        <w:rPr>
          <w:rFonts w:ascii="宋体" w:hAnsi="宋体" w:cs="宋体"/>
          <w:szCs w:val="21"/>
        </w:rPr>
      </w:pPr>
      <w:bookmarkStart w:id="727" w:name="_Toc287620794"/>
      <w:bookmarkStart w:id="728" w:name="_Toc255334272"/>
    </w:p>
    <w:bookmarkEnd w:id="727"/>
    <w:bookmarkEnd w:id="728"/>
    <w:p>
      <w:pPr>
        <w:pStyle w:val="2"/>
        <w:jc w:val="center"/>
        <w:rPr>
          <w:rFonts w:ascii="宋体" w:hAnsi="宋体" w:cs="宋体"/>
        </w:rPr>
      </w:pPr>
      <w:bookmarkStart w:id="729" w:name="招标文件06章图纸"/>
      <w:bookmarkEnd w:id="729"/>
      <w:bookmarkStart w:id="730" w:name="_Toc287620803"/>
      <w:bookmarkStart w:id="731" w:name="_Toc287607861"/>
      <w:bookmarkStart w:id="732" w:name="_Toc300662172"/>
      <w:r>
        <w:rPr>
          <w:rFonts w:hint="eastAsia" w:ascii="宋体" w:hAnsi="宋体" w:cs="宋体"/>
        </w:rPr>
        <w:t>第五章　图纸</w:t>
      </w:r>
      <w:bookmarkEnd w:id="730"/>
      <w:bookmarkEnd w:id="731"/>
      <w:bookmarkEnd w:id="732"/>
    </w:p>
    <w:p>
      <w:pPr>
        <w:spacing w:line="360" w:lineRule="auto"/>
        <w:rPr>
          <w:rFonts w:ascii="宋体" w:hAnsi="宋体" w:cs="宋体"/>
          <w:b/>
          <w:sz w:val="22"/>
        </w:rPr>
      </w:pPr>
      <w:r>
        <w:rPr>
          <w:rFonts w:hint="eastAsia" w:ascii="宋体" w:hAnsi="宋体" w:cs="宋体"/>
          <w:b/>
          <w:sz w:val="22"/>
        </w:rPr>
        <w:t>图纸（电子版）</w:t>
      </w:r>
    </w:p>
    <w:p>
      <w:pPr>
        <w:spacing w:line="360" w:lineRule="auto"/>
        <w:rPr>
          <w:rFonts w:ascii="宋体" w:hAnsi="宋体" w:cs="宋体"/>
          <w:sz w:val="22"/>
          <w:szCs w:val="20"/>
        </w:rPr>
      </w:pPr>
    </w:p>
    <w:p>
      <w:pPr>
        <w:rPr>
          <w:rFonts w:ascii="宋体" w:hAnsi="宋体" w:cs="宋体"/>
          <w:szCs w:val="20"/>
        </w:rPr>
      </w:pPr>
      <w:r>
        <w:rPr>
          <w:rFonts w:hint="eastAsia" w:ascii="宋体" w:hAnsi="宋体" w:cs="宋体"/>
          <w:szCs w:val="20"/>
        </w:rPr>
        <w:br w:type="page"/>
      </w:r>
      <w:bookmarkStart w:id="733" w:name="招标文件08章投标文件格式"/>
      <w:bookmarkEnd w:id="733"/>
    </w:p>
    <w:p>
      <w:pPr>
        <w:pStyle w:val="2"/>
        <w:spacing w:before="0" w:after="0" w:line="360" w:lineRule="auto"/>
        <w:jc w:val="center"/>
        <w:rPr>
          <w:rFonts w:ascii="宋体" w:hAnsi="宋体" w:cs="宋体"/>
        </w:rPr>
      </w:pPr>
      <w:bookmarkStart w:id="734" w:name="_Toc300662173"/>
      <w:bookmarkStart w:id="735" w:name="_Toc287620812"/>
      <w:bookmarkStart w:id="736" w:name="_Toc287607865"/>
      <w:r>
        <w:rPr>
          <w:rFonts w:hint="eastAsia" w:ascii="宋体" w:hAnsi="宋体" w:cs="宋体"/>
        </w:rPr>
        <w:t xml:space="preserve">第六章 </w:t>
      </w:r>
      <w:bookmarkStart w:id="737" w:name="_Toc387312479"/>
      <w:r>
        <w:rPr>
          <w:rFonts w:hint="eastAsia" w:ascii="宋体" w:hAnsi="宋体" w:cs="宋体"/>
        </w:rPr>
        <w:t>技术标准和要求</w:t>
      </w:r>
      <w:bookmarkEnd w:id="737"/>
    </w:p>
    <w:p>
      <w:pPr>
        <w:adjustRightInd w:val="0"/>
        <w:snapToGrid w:val="0"/>
        <w:spacing w:line="360" w:lineRule="auto"/>
        <w:ind w:left="360"/>
        <w:rPr>
          <w:rFonts w:ascii="宋体" w:hAnsi="宋体" w:cs="宋体"/>
          <w:b/>
          <w:kern w:val="0"/>
          <w:sz w:val="24"/>
        </w:rPr>
      </w:pPr>
      <w:r>
        <w:rPr>
          <w:rFonts w:hint="eastAsia" w:ascii="宋体" w:hAnsi="宋体" w:cs="宋体"/>
          <w:b/>
          <w:kern w:val="0"/>
          <w:sz w:val="24"/>
        </w:rPr>
        <w:t>一、本工程报价的内容范围。</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西彭组团D63、D64地块厂房项目钢结构工程专业分包内容（详见图纸及工程量清单）如下：</w:t>
      </w:r>
    </w:p>
    <w:p>
      <w:pPr>
        <w:spacing w:line="420" w:lineRule="exact"/>
        <w:outlineLvl w:val="1"/>
        <w:rPr>
          <w:rFonts w:ascii="宋体" w:hAnsi="宋体" w:cs="宋体"/>
          <w:kern w:val="0"/>
          <w:sz w:val="24"/>
          <w:highlight w:val="yellow"/>
        </w:rPr>
      </w:pPr>
      <w:r>
        <w:rPr>
          <w:rFonts w:hint="eastAsia" w:ascii="宋体" w:hAnsi="宋体" w:cs="宋体"/>
          <w:kern w:val="0"/>
          <w:sz w:val="24"/>
        </w:rPr>
        <w:t>（1）主要包括（详见图纸、已报价工程量清单及技术标准与要求）：</w:t>
      </w:r>
      <w:r>
        <w:rPr>
          <w:rFonts w:hint="eastAsia" w:ascii="宋体" w:hAnsi="宋体" w:cs="宋体"/>
          <w:snapToGrid w:val="0"/>
          <w:kern w:val="0"/>
          <w:szCs w:val="21"/>
          <w:highlight w:val="yellow"/>
          <w:u w:val="single"/>
        </w:rPr>
        <w:t>西彭组团D63、D64地块厂房项目钢结构工程</w:t>
      </w:r>
      <w:r>
        <w:rPr>
          <w:rFonts w:hint="eastAsia" w:ascii="宋体" w:hAnsi="宋体" w:cs="宋体"/>
          <w:snapToGrid w:val="0"/>
          <w:kern w:val="0"/>
          <w:szCs w:val="21"/>
          <w:u w:val="single"/>
        </w:rPr>
        <w:t>（所有钢结构工程，不含栏杆，不含室内隔墙，不含吊顶用吊杆，不含虹吸系统），主要包括：钢结构柱梁支撑等材料的采购、加工制作、运输及安装(含钢结构图纸深化设计及下料图)，钢楼梯与钢爬梯的采购及加工制作与安装，地脚锚栓的预埋，遮阳罩棚的制作及安装，所有栓钉的采购及加工制作与安装，钢结构工程的除锈与涂装、</w:t>
      </w:r>
      <w:r>
        <w:rPr>
          <w:rFonts w:hint="eastAsia" w:ascii="宋体" w:hAnsi="宋体" w:cs="宋体"/>
          <w:snapToGrid w:val="0"/>
          <w:kern w:val="0"/>
          <w:szCs w:val="21"/>
          <w:highlight w:val="yellow"/>
          <w:u w:val="single"/>
        </w:rPr>
        <w:t>防火涂料</w:t>
      </w:r>
      <w:r>
        <w:rPr>
          <w:rFonts w:hint="eastAsia" w:ascii="宋体" w:hAnsi="宋体" w:cs="宋体"/>
          <w:snapToGrid w:val="0"/>
          <w:kern w:val="0"/>
          <w:szCs w:val="21"/>
          <w:u w:val="single"/>
        </w:rPr>
        <w:t>等全部内容（详见图纸）</w:t>
      </w:r>
    </w:p>
    <w:p>
      <w:pPr>
        <w:spacing w:line="420" w:lineRule="exact"/>
        <w:outlineLvl w:val="1"/>
        <w:rPr>
          <w:rFonts w:ascii="宋体" w:hAnsi="宋体" w:cs="宋体"/>
          <w:kern w:val="0"/>
          <w:sz w:val="24"/>
        </w:rPr>
      </w:pPr>
      <w:r>
        <w:rPr>
          <w:rFonts w:hint="eastAsia" w:ascii="宋体" w:hAnsi="宋体" w:cs="宋体"/>
          <w:kern w:val="0"/>
          <w:sz w:val="24"/>
        </w:rPr>
        <w:t>（2）钢结构预留预埋：配合其他专业预留预埋工作。</w:t>
      </w:r>
    </w:p>
    <w:p>
      <w:pPr>
        <w:spacing w:line="420" w:lineRule="exact"/>
        <w:outlineLvl w:val="1"/>
        <w:rPr>
          <w:rFonts w:ascii="宋体" w:hAnsi="宋体" w:cs="宋体"/>
          <w:kern w:val="0"/>
          <w:sz w:val="24"/>
        </w:rPr>
      </w:pPr>
      <w:r>
        <w:rPr>
          <w:rFonts w:hint="eastAsia" w:ascii="宋体" w:hAnsi="宋体" w:cs="宋体"/>
          <w:kern w:val="0"/>
          <w:sz w:val="24"/>
        </w:rPr>
        <w:t>（3）协助配合其他标段的工作，配合后期设备的安装与调试。</w:t>
      </w:r>
    </w:p>
    <w:p>
      <w:pPr>
        <w:spacing w:line="420" w:lineRule="exact"/>
        <w:outlineLvl w:val="1"/>
        <w:rPr>
          <w:rFonts w:ascii="宋体" w:hAnsi="宋体" w:cs="宋体"/>
          <w:kern w:val="0"/>
          <w:sz w:val="24"/>
        </w:rPr>
      </w:pPr>
      <w:r>
        <w:rPr>
          <w:rFonts w:hint="eastAsia" w:ascii="宋体" w:hAnsi="宋体" w:cs="宋体"/>
          <w:kern w:val="0"/>
          <w:sz w:val="24"/>
        </w:rPr>
        <w:t>（4）要求本标段劳务包机具、周转材、辅材。</w:t>
      </w:r>
    </w:p>
    <w:p>
      <w:pPr>
        <w:spacing w:line="420" w:lineRule="exact"/>
        <w:outlineLvl w:val="1"/>
        <w:rPr>
          <w:rFonts w:ascii="宋体" w:hAnsi="宋体" w:cs="宋体"/>
          <w:kern w:val="0"/>
          <w:sz w:val="24"/>
        </w:rPr>
      </w:pPr>
      <w:r>
        <w:rPr>
          <w:rFonts w:hint="eastAsia" w:ascii="宋体" w:hAnsi="宋体" w:cs="宋体"/>
          <w:kern w:val="0"/>
          <w:sz w:val="24"/>
        </w:rPr>
        <w:t>（5）要求本标段场地内周转材转运费用自理。</w:t>
      </w:r>
    </w:p>
    <w:p>
      <w:pPr>
        <w:spacing w:line="420" w:lineRule="exact"/>
        <w:outlineLvl w:val="1"/>
        <w:rPr>
          <w:rFonts w:ascii="宋体" w:hAnsi="宋体" w:cs="宋体"/>
          <w:kern w:val="0"/>
          <w:sz w:val="24"/>
        </w:rPr>
      </w:pPr>
      <w:r>
        <w:rPr>
          <w:rFonts w:hint="eastAsia" w:ascii="宋体" w:hAnsi="宋体" w:cs="宋体"/>
          <w:kern w:val="0"/>
          <w:sz w:val="24"/>
        </w:rPr>
        <w:t>（6）安全帽、服装统一由发包人定制，费用由承包人承担。</w:t>
      </w:r>
    </w:p>
    <w:p>
      <w:pPr>
        <w:adjustRightInd w:val="0"/>
        <w:snapToGrid w:val="0"/>
        <w:spacing w:line="360" w:lineRule="auto"/>
        <w:rPr>
          <w:rFonts w:ascii="宋体" w:hAnsi="宋体" w:cs="宋体"/>
          <w:kern w:val="0"/>
          <w:sz w:val="24"/>
        </w:rPr>
      </w:pPr>
      <w:r>
        <w:rPr>
          <w:rFonts w:hint="eastAsia" w:ascii="宋体" w:hAnsi="宋体" w:cs="宋体"/>
          <w:kern w:val="0"/>
          <w:sz w:val="24"/>
        </w:rPr>
        <w:t>（7）其他工作内容：</w:t>
      </w:r>
    </w:p>
    <w:p>
      <w:pPr>
        <w:adjustRightInd w:val="0"/>
        <w:snapToGrid w:val="0"/>
        <w:spacing w:line="360" w:lineRule="auto"/>
        <w:rPr>
          <w:rFonts w:ascii="宋体" w:hAnsi="宋体" w:cs="宋体"/>
          <w:kern w:val="0"/>
          <w:sz w:val="24"/>
        </w:rPr>
      </w:pPr>
      <w:r>
        <w:rPr>
          <w:rFonts w:hint="eastAsia" w:ascii="宋体" w:hAnsi="宋体" w:cs="宋体"/>
          <w:kern w:val="0"/>
          <w:sz w:val="24"/>
        </w:rPr>
        <w:t>1）配合现场材料件的送检工作(根据实际需求数量派相关工人全程跟踪配合)。</w:t>
      </w:r>
    </w:p>
    <w:p>
      <w:pPr>
        <w:adjustRightInd w:val="0"/>
        <w:snapToGrid w:val="0"/>
        <w:spacing w:line="360" w:lineRule="auto"/>
        <w:rPr>
          <w:rFonts w:ascii="宋体" w:hAnsi="宋体" w:cs="宋体"/>
          <w:kern w:val="0"/>
          <w:sz w:val="24"/>
        </w:rPr>
      </w:pPr>
      <w:r>
        <w:rPr>
          <w:rFonts w:hint="eastAsia" w:ascii="宋体" w:hAnsi="宋体" w:cs="宋体"/>
          <w:kern w:val="0"/>
          <w:sz w:val="24"/>
        </w:rPr>
        <w:t>2）对于乙方在施工过程搭设的临时设施，如甲方要求拆除，乙方应按甲方的要求予以拆除清运出场（除渣工作费用参照本条第3条执行），并将现场清理干净，费用由乙方承担。</w:t>
      </w:r>
    </w:p>
    <w:p>
      <w:pPr>
        <w:adjustRightInd w:val="0"/>
        <w:snapToGrid w:val="0"/>
        <w:spacing w:line="360" w:lineRule="auto"/>
        <w:rPr>
          <w:rFonts w:ascii="宋体" w:hAnsi="宋体" w:cs="宋体"/>
          <w:kern w:val="0"/>
          <w:sz w:val="24"/>
        </w:rPr>
      </w:pPr>
      <w:r>
        <w:rPr>
          <w:rFonts w:hint="eastAsia" w:ascii="宋体" w:hAnsi="宋体" w:cs="宋体"/>
          <w:kern w:val="0"/>
          <w:sz w:val="24"/>
        </w:rPr>
        <w:t xml:space="preserve"> 3）建筑及生活垃圾清运出场运至渣弃渣的全部工作及费用（含场内清理、集中堆放、上下车费、运输费、渣场费、市政道路的清扫、保洁、防尘、以及违反国家及地方相关规定的所有处罚费用、相关职能部门的协调费用等）由乙方负责。</w:t>
      </w:r>
    </w:p>
    <w:p>
      <w:pPr>
        <w:numPr>
          <w:ilvl w:val="0"/>
          <w:numId w:val="4"/>
        </w:numPr>
        <w:adjustRightInd w:val="0"/>
        <w:snapToGrid w:val="0"/>
        <w:spacing w:line="360" w:lineRule="auto"/>
        <w:rPr>
          <w:rFonts w:ascii="宋体" w:hAnsi="宋体" w:cs="宋体"/>
          <w:b/>
          <w:bCs/>
          <w:sz w:val="24"/>
        </w:rPr>
      </w:pPr>
      <w:r>
        <w:rPr>
          <w:rFonts w:hint="eastAsia" w:ascii="宋体" w:hAnsi="宋体" w:cs="宋体"/>
          <w:b/>
          <w:kern w:val="0"/>
          <w:sz w:val="24"/>
        </w:rPr>
        <w:t>本工程技术要求</w:t>
      </w:r>
    </w:p>
    <w:p>
      <w:pPr>
        <w:adjustRightInd w:val="0"/>
        <w:snapToGrid w:val="0"/>
        <w:spacing w:line="360" w:lineRule="auto"/>
        <w:rPr>
          <w:rFonts w:ascii="宋体" w:hAnsi="宋体" w:cs="宋体"/>
          <w:kern w:val="0"/>
          <w:sz w:val="24"/>
        </w:rPr>
      </w:pPr>
      <w:r>
        <w:rPr>
          <w:rFonts w:hint="eastAsia" w:ascii="宋体" w:hAnsi="宋体" w:cs="宋体"/>
          <w:kern w:val="0"/>
          <w:sz w:val="24"/>
        </w:rPr>
        <w:t>1、详见设计图纸和设计说明书。</w:t>
      </w:r>
    </w:p>
    <w:p>
      <w:pPr>
        <w:adjustRightInd w:val="0"/>
        <w:snapToGrid w:val="0"/>
        <w:spacing w:line="360" w:lineRule="auto"/>
        <w:rPr>
          <w:rFonts w:ascii="宋体" w:hAnsi="宋体" w:cs="宋体"/>
          <w:kern w:val="0"/>
          <w:sz w:val="24"/>
        </w:rPr>
      </w:pPr>
      <w:r>
        <w:rPr>
          <w:rFonts w:hint="eastAsia" w:ascii="宋体" w:hAnsi="宋体" w:cs="宋体"/>
          <w:kern w:val="0"/>
          <w:sz w:val="24"/>
        </w:rPr>
        <w:t>2、为了保证项目总体工期目标要求，发包人根据工程的实际需要安排其他专业分包队伍穿插施工，承包人应服从发包人的总体布置和安排。</w:t>
      </w:r>
    </w:p>
    <w:p>
      <w:pPr>
        <w:adjustRightInd w:val="0"/>
        <w:snapToGrid w:val="0"/>
        <w:spacing w:line="360" w:lineRule="auto"/>
        <w:rPr>
          <w:rFonts w:ascii="宋体" w:hAnsi="宋体" w:cs="宋体"/>
          <w:kern w:val="0"/>
          <w:sz w:val="24"/>
        </w:rPr>
      </w:pPr>
      <w:r>
        <w:rPr>
          <w:rFonts w:hint="eastAsia" w:ascii="宋体" w:hAnsi="宋体" w:cs="宋体"/>
          <w:kern w:val="0"/>
          <w:sz w:val="24"/>
        </w:rPr>
        <w:t>3、钢构和连接（件）板等材料按设计图纸采用Q345B钢和Q235B钢，产地为宝钢、攀钢、武钢、首钢等国内主要钢厂生产。</w:t>
      </w:r>
    </w:p>
    <w:p>
      <w:pPr>
        <w:spacing w:line="360" w:lineRule="auto"/>
        <w:rPr>
          <w:rFonts w:ascii="宋体" w:hAnsi="宋体" w:cs="宋体"/>
          <w:sz w:val="24"/>
        </w:rPr>
      </w:pPr>
      <w:r>
        <w:rPr>
          <w:rFonts w:hint="eastAsia" w:ascii="宋体" w:hAnsi="宋体" w:cs="宋体"/>
          <w:sz w:val="24"/>
        </w:rPr>
        <w:t>4、钢结构的加工质量符合相关的施工及验收规范。</w:t>
      </w:r>
    </w:p>
    <w:p>
      <w:pPr>
        <w:spacing w:line="360" w:lineRule="auto"/>
        <w:rPr>
          <w:rFonts w:ascii="宋体" w:hAnsi="宋体" w:cs="宋体"/>
          <w:sz w:val="24"/>
        </w:rPr>
      </w:pPr>
      <w:r>
        <w:rPr>
          <w:rFonts w:hint="eastAsia" w:ascii="宋体" w:hAnsi="宋体" w:cs="宋体"/>
          <w:sz w:val="24"/>
        </w:rPr>
        <w:t>5、钢材的切割采用机械切割，切口平整、切割后的毛刺、熔渣全部除净。</w:t>
      </w:r>
    </w:p>
    <w:p>
      <w:pPr>
        <w:spacing w:line="360" w:lineRule="auto"/>
        <w:rPr>
          <w:rFonts w:ascii="宋体" w:hAnsi="宋体" w:cs="宋体"/>
          <w:sz w:val="24"/>
        </w:rPr>
      </w:pPr>
      <w:r>
        <w:rPr>
          <w:rFonts w:hint="eastAsia" w:ascii="宋体" w:hAnsi="宋体" w:cs="宋体"/>
          <w:sz w:val="24"/>
        </w:rPr>
        <w:t>6、钢构件的焊接采用机械焊接，焊缝平整，焊接中不出现夹渣、气孔、裂缝、错位、未焊透等现象。</w:t>
      </w:r>
    </w:p>
    <w:p>
      <w:pPr>
        <w:spacing w:line="360" w:lineRule="auto"/>
        <w:rPr>
          <w:rFonts w:ascii="宋体" w:hAnsi="宋体" w:cs="宋体"/>
          <w:sz w:val="24"/>
        </w:rPr>
      </w:pPr>
      <w:r>
        <w:rPr>
          <w:rFonts w:hint="eastAsia" w:ascii="宋体" w:hAnsi="宋体" w:cs="宋体"/>
          <w:sz w:val="24"/>
        </w:rPr>
        <w:t>7、钢构件的焊接及焊接检验应符合</w:t>
      </w:r>
      <w:r>
        <w:rPr>
          <w:rFonts w:hint="eastAsia" w:ascii="宋体" w:hAnsi="宋体" w:cs="宋体"/>
          <w:kern w:val="0"/>
          <w:sz w:val="24"/>
        </w:rPr>
        <w:t>国家和重庆市现行规范及标准规定的要求</w:t>
      </w:r>
      <w:r>
        <w:rPr>
          <w:rFonts w:hint="eastAsia" w:ascii="宋体" w:hAnsi="宋体" w:cs="宋体"/>
          <w:sz w:val="24"/>
        </w:rPr>
        <w:t>。所有焊接钢构件均应进行无损伤检验。</w:t>
      </w:r>
    </w:p>
    <w:p>
      <w:pPr>
        <w:spacing w:line="360" w:lineRule="auto"/>
        <w:rPr>
          <w:rFonts w:ascii="宋体" w:hAnsi="宋体" w:cs="宋体"/>
          <w:sz w:val="24"/>
        </w:rPr>
      </w:pPr>
      <w:r>
        <w:rPr>
          <w:rFonts w:hint="eastAsia" w:ascii="宋体" w:hAnsi="宋体" w:cs="宋体"/>
          <w:sz w:val="24"/>
        </w:rPr>
        <w:t>8、高强度螺栓孔应用钻模钻成。</w:t>
      </w:r>
    </w:p>
    <w:p>
      <w:pPr>
        <w:spacing w:line="360" w:lineRule="auto"/>
        <w:rPr>
          <w:rFonts w:ascii="宋体" w:hAnsi="宋体" w:cs="宋体"/>
          <w:sz w:val="24"/>
        </w:rPr>
      </w:pPr>
      <w:r>
        <w:rPr>
          <w:rFonts w:hint="eastAsia" w:ascii="宋体" w:hAnsi="宋体" w:cs="宋体"/>
          <w:sz w:val="24"/>
        </w:rPr>
        <w:t>9、组合构件的制作偏差应符合</w:t>
      </w:r>
      <w:r>
        <w:rPr>
          <w:rFonts w:hint="eastAsia" w:ascii="宋体" w:hAnsi="宋体" w:cs="宋体"/>
          <w:kern w:val="0"/>
          <w:sz w:val="24"/>
        </w:rPr>
        <w:t>国家和重庆市现行规范及标准</w:t>
      </w:r>
      <w:r>
        <w:rPr>
          <w:rFonts w:hint="eastAsia" w:ascii="宋体" w:hAnsi="宋体" w:cs="宋体"/>
          <w:sz w:val="24"/>
        </w:rPr>
        <w:t>的规定。</w:t>
      </w:r>
    </w:p>
    <w:p>
      <w:pPr>
        <w:adjustRightInd w:val="0"/>
        <w:snapToGrid w:val="0"/>
        <w:spacing w:line="360" w:lineRule="auto"/>
        <w:rPr>
          <w:rFonts w:ascii="宋体" w:hAnsi="宋体" w:cs="宋体"/>
          <w:sz w:val="24"/>
        </w:rPr>
      </w:pPr>
      <w:r>
        <w:rPr>
          <w:rFonts w:hint="eastAsia" w:ascii="宋体" w:hAnsi="宋体" w:cs="宋体"/>
          <w:kern w:val="0"/>
          <w:sz w:val="24"/>
        </w:rPr>
        <w:t>10、</w:t>
      </w:r>
      <w:r>
        <w:rPr>
          <w:rFonts w:hint="eastAsia" w:ascii="宋体" w:hAnsi="宋体" w:cs="宋体"/>
          <w:sz w:val="24"/>
        </w:rPr>
        <w:t>所有底板、拼接板、盖板和加强板应在工厂焊接到结构构件上，螺栓孔以及所有底板、拼接板、翼缘板均应在工厂预制，并打好螺栓孔，腹板的工厂预制包括对拉杆支撑及翼缘支撑的冲孔定位。除预先声明并得到发包人、业主及设计院的同意，一般不得在安装现场进行焊接或切割。安装现场不允许动火切割钻孔。</w:t>
      </w:r>
    </w:p>
    <w:p>
      <w:pPr>
        <w:adjustRightInd w:val="0"/>
        <w:snapToGrid w:val="0"/>
        <w:spacing w:line="360" w:lineRule="auto"/>
        <w:rPr>
          <w:rFonts w:ascii="宋体" w:hAnsi="宋体" w:cs="宋体"/>
          <w:sz w:val="24"/>
        </w:rPr>
      </w:pPr>
      <w:r>
        <w:rPr>
          <w:rFonts w:hint="eastAsia" w:ascii="宋体" w:hAnsi="宋体" w:cs="宋体"/>
          <w:sz w:val="24"/>
        </w:rPr>
        <w:t>11、钢结构防锈涂装工程应在构件制作质量经检验符合标准后进行。</w:t>
      </w:r>
    </w:p>
    <w:p>
      <w:pPr>
        <w:adjustRightInd w:val="0"/>
        <w:snapToGrid w:val="0"/>
        <w:spacing w:line="360" w:lineRule="auto"/>
        <w:rPr>
          <w:rFonts w:ascii="宋体" w:hAnsi="宋体" w:cs="宋体"/>
          <w:sz w:val="24"/>
        </w:rPr>
      </w:pPr>
      <w:r>
        <w:rPr>
          <w:rFonts w:hint="eastAsia" w:ascii="宋体" w:hAnsi="宋体" w:cs="宋体"/>
          <w:sz w:val="24"/>
        </w:rPr>
        <w:t>12、设计时应对构件的基材种类、表面除锈等级、涂层结构、涂层厚度、涂装方法、使用状况以及预期耐蚀寿命等综合考虑后，提出合理的除锈方法和涂装要求。钢结构表面处理后到涂底漆的时间间隔不应超过0.5小时，在此期间表面应保持洁净，严禁沾水、油污等。</w:t>
      </w:r>
    </w:p>
    <w:p>
      <w:pPr>
        <w:autoSpaceDE w:val="0"/>
        <w:autoSpaceDN w:val="0"/>
        <w:adjustRightInd w:val="0"/>
        <w:snapToGrid w:val="0"/>
        <w:spacing w:line="360" w:lineRule="auto"/>
        <w:rPr>
          <w:rFonts w:ascii="宋体" w:hAnsi="宋体" w:cs="宋体"/>
          <w:b/>
          <w:kern w:val="0"/>
          <w:sz w:val="24"/>
        </w:rPr>
      </w:pPr>
      <w:r>
        <w:rPr>
          <w:rFonts w:hint="eastAsia" w:ascii="宋体" w:hAnsi="宋体" w:cs="宋体"/>
          <w:b/>
          <w:kern w:val="0"/>
          <w:sz w:val="24"/>
        </w:rPr>
        <w:t>四、质量标准</w:t>
      </w:r>
    </w:p>
    <w:p>
      <w:pPr>
        <w:snapToGrid w:val="0"/>
        <w:spacing w:line="360" w:lineRule="auto"/>
        <w:ind w:firstLine="459"/>
        <w:rPr>
          <w:rFonts w:ascii="宋体" w:hAnsi="宋体" w:cs="宋体"/>
          <w:kern w:val="0"/>
          <w:sz w:val="24"/>
        </w:rPr>
      </w:pPr>
      <w:r>
        <w:rPr>
          <w:rFonts w:hint="eastAsia" w:ascii="宋体" w:hAnsi="宋体" w:cs="宋体"/>
          <w:kern w:val="0"/>
          <w:sz w:val="24"/>
        </w:rPr>
        <w:t>工程质量符合国家和本地区现行的相关规范、规程、标准规定的质量合格标准，满足建设业主质量规程及标准。</w:t>
      </w:r>
    </w:p>
    <w:p>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因工程质量发生争议的，甲方有权单方委托有资质的工程质量检测机构进行鉴定，工程质量鉴定合格的，鉴定费用由甲方承担。工程质量鉴定不合格的，鉴定费用由乙方承担。</w:t>
      </w:r>
    </w:p>
    <w:p>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甲方和业主委托的监理单位有权对工程质量进行检查和检验，但不免除乙方按本合同约定应负的责任。</w:t>
      </w:r>
    </w:p>
    <w:p>
      <w:pPr>
        <w:autoSpaceDE w:val="0"/>
        <w:autoSpaceDN w:val="0"/>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无论本工程移交与否，均不减轻或免除乙方依法律或合同规定所应承担的工程全面质量的责任。</w:t>
      </w:r>
    </w:p>
    <w:p>
      <w:pPr>
        <w:autoSpaceDE w:val="0"/>
        <w:autoSpaceDN w:val="0"/>
        <w:adjustRightInd w:val="0"/>
        <w:snapToGrid w:val="0"/>
        <w:spacing w:line="360" w:lineRule="auto"/>
        <w:rPr>
          <w:rFonts w:ascii="宋体" w:hAnsi="宋体" w:cs="宋体"/>
          <w:b/>
          <w:kern w:val="0"/>
          <w:sz w:val="24"/>
        </w:rPr>
      </w:pPr>
      <w:r>
        <w:rPr>
          <w:rFonts w:hint="eastAsia" w:ascii="宋体" w:hAnsi="宋体" w:cs="宋体"/>
          <w:b/>
          <w:kern w:val="0"/>
          <w:sz w:val="24"/>
        </w:rPr>
        <w:t>五、其他要求</w:t>
      </w:r>
    </w:p>
    <w:p>
      <w:pPr>
        <w:tabs>
          <w:tab w:val="left" w:pos="5010"/>
        </w:tabs>
        <w:spacing w:line="360" w:lineRule="auto"/>
        <w:rPr>
          <w:rFonts w:ascii="宋体" w:hAnsi="宋体" w:cs="宋体"/>
          <w:sz w:val="24"/>
        </w:rPr>
      </w:pPr>
      <w:r>
        <w:rPr>
          <w:rFonts w:hint="eastAsia" w:ascii="宋体" w:hAnsi="宋体" w:cs="宋体"/>
          <w:kern w:val="0"/>
          <w:sz w:val="24"/>
        </w:rPr>
        <w:t>1、</w:t>
      </w:r>
      <w:r>
        <w:rPr>
          <w:rFonts w:hint="eastAsia" w:ascii="宋体" w:hAnsi="宋体" w:cs="宋体"/>
          <w:sz w:val="24"/>
        </w:rPr>
        <w:t>对于暴露在外的螺栓、垫片、螺帽等采用镀锌材料；对于有防雨要求的自攻螺丝均有橡胶封闭垫圈。</w:t>
      </w:r>
    </w:p>
    <w:p>
      <w:pPr>
        <w:tabs>
          <w:tab w:val="left" w:pos="5010"/>
        </w:tabs>
        <w:spacing w:line="360" w:lineRule="auto"/>
        <w:rPr>
          <w:rFonts w:ascii="宋体" w:hAnsi="宋体" w:cs="宋体"/>
          <w:sz w:val="24"/>
        </w:rPr>
      </w:pPr>
      <w:r>
        <w:rPr>
          <w:rFonts w:hint="eastAsia" w:ascii="宋体" w:hAnsi="宋体" w:cs="宋体"/>
          <w:sz w:val="24"/>
        </w:rPr>
        <w:t>2、对于暴露在外的螺栓、垫片、螺帽等采用镀锌材料；对于有防雨要求的自攻螺丝均有橡胶封闭垫圈。</w:t>
      </w:r>
    </w:p>
    <w:p>
      <w:pPr>
        <w:tabs>
          <w:tab w:val="left" w:pos="5010"/>
        </w:tabs>
        <w:spacing w:line="360" w:lineRule="auto"/>
        <w:rPr>
          <w:rFonts w:ascii="宋体" w:hAnsi="宋体" w:cs="宋体"/>
          <w:sz w:val="24"/>
        </w:rPr>
      </w:pPr>
      <w:r>
        <w:rPr>
          <w:rFonts w:hint="eastAsia" w:ascii="宋体" w:hAnsi="宋体" w:cs="宋体"/>
          <w:sz w:val="24"/>
        </w:rPr>
        <w:t>3、运输、包装要求：均须分层，保证不变形、不扭曲、烤漆不损伤。烤漆钢板应覆PVC贴膜。所有钢结构材料需根据发包人的要求运输到本项目现场指定位置。</w:t>
      </w:r>
    </w:p>
    <w:p>
      <w:pPr>
        <w:tabs>
          <w:tab w:val="left" w:pos="5010"/>
        </w:tabs>
        <w:spacing w:line="360" w:lineRule="auto"/>
        <w:rPr>
          <w:rFonts w:ascii="宋体" w:hAnsi="宋体" w:cs="宋体"/>
          <w:sz w:val="24"/>
        </w:rPr>
      </w:pPr>
      <w:r>
        <w:rPr>
          <w:rFonts w:hint="eastAsia" w:ascii="宋体" w:hAnsi="宋体" w:cs="宋体"/>
          <w:sz w:val="24"/>
        </w:rPr>
        <w:t>4、场地要求：平整、干燥，存放时有垫木等保护措施。</w:t>
      </w:r>
    </w:p>
    <w:p>
      <w:pPr>
        <w:autoSpaceDE w:val="0"/>
        <w:autoSpaceDN w:val="0"/>
        <w:adjustRightInd w:val="0"/>
        <w:snapToGrid w:val="0"/>
        <w:spacing w:line="360" w:lineRule="auto"/>
        <w:rPr>
          <w:rFonts w:ascii="宋体" w:hAnsi="宋体" w:cs="宋体"/>
          <w:kern w:val="0"/>
          <w:sz w:val="24"/>
        </w:rPr>
      </w:pPr>
    </w:p>
    <w:p>
      <w:pPr>
        <w:autoSpaceDE w:val="0"/>
        <w:autoSpaceDN w:val="0"/>
        <w:adjustRightInd w:val="0"/>
        <w:snapToGrid w:val="0"/>
        <w:spacing w:line="360" w:lineRule="auto"/>
        <w:rPr>
          <w:rFonts w:ascii="宋体" w:hAnsi="宋体" w:cs="宋体"/>
          <w:kern w:val="0"/>
          <w:sz w:val="24"/>
        </w:rPr>
      </w:pPr>
    </w:p>
    <w:p>
      <w:pPr>
        <w:autoSpaceDE w:val="0"/>
        <w:autoSpaceDN w:val="0"/>
        <w:adjustRightInd w:val="0"/>
        <w:snapToGrid w:val="0"/>
        <w:spacing w:line="360" w:lineRule="auto"/>
        <w:rPr>
          <w:rFonts w:ascii="宋体" w:hAnsi="宋体" w:cs="宋体"/>
          <w:kern w:val="0"/>
          <w:sz w:val="24"/>
        </w:rPr>
      </w:pPr>
    </w:p>
    <w:p>
      <w:pPr>
        <w:spacing w:line="360" w:lineRule="auto"/>
        <w:rPr>
          <w:rFonts w:ascii="宋体" w:hAnsi="宋体" w:cs="宋体"/>
          <w:sz w:val="22"/>
          <w:szCs w:val="20"/>
        </w:rPr>
      </w:pPr>
    </w:p>
    <w:p>
      <w:pPr>
        <w:rPr>
          <w:rFonts w:ascii="宋体" w:hAnsi="宋体" w:cs="宋体"/>
          <w:szCs w:val="20"/>
        </w:rPr>
        <w:sectPr>
          <w:pgSz w:w="11906" w:h="16838"/>
          <w:pgMar w:top="1418" w:right="1361" w:bottom="1418" w:left="1418" w:header="851" w:footer="992" w:gutter="0"/>
          <w:cols w:space="720" w:num="1"/>
          <w:docGrid w:linePitch="312" w:charSpace="0"/>
        </w:sectPr>
      </w:pPr>
      <w:r>
        <w:rPr>
          <w:rFonts w:hint="eastAsia" w:ascii="宋体" w:hAnsi="宋体" w:cs="宋体"/>
          <w:szCs w:val="20"/>
        </w:rPr>
        <w:br w:type="page"/>
      </w:r>
    </w:p>
    <w:p>
      <w:pPr>
        <w:pStyle w:val="2"/>
        <w:jc w:val="center"/>
        <w:rPr>
          <w:rFonts w:ascii="宋体" w:hAnsi="宋体" w:cs="宋体"/>
        </w:rPr>
      </w:pPr>
      <w:r>
        <w:rPr>
          <w:rFonts w:hint="eastAsia" w:ascii="宋体" w:hAnsi="宋体" w:cs="宋体"/>
        </w:rPr>
        <w:t>第七章　投标文件格式</w:t>
      </w:r>
      <w:bookmarkEnd w:id="734"/>
      <w:bookmarkEnd w:id="735"/>
      <w:bookmarkEnd w:id="736"/>
    </w:p>
    <w:p>
      <w:pPr>
        <w:ind w:firstLine="1120" w:firstLineChars="350"/>
        <w:rPr>
          <w:rFonts w:ascii="宋体" w:hAnsi="宋体" w:cs="宋体"/>
          <w:sz w:val="32"/>
          <w:szCs w:val="32"/>
        </w:rPr>
      </w:pPr>
    </w:p>
    <w:p>
      <w:pPr>
        <w:jc w:val="center"/>
        <w:rPr>
          <w:rFonts w:ascii="宋体" w:hAnsi="宋体" w:cs="宋体"/>
          <w:b/>
          <w:sz w:val="30"/>
          <w:szCs w:val="30"/>
        </w:rPr>
      </w:pPr>
      <w:bookmarkStart w:id="738" w:name="_Toc224103493"/>
      <w:r>
        <w:rPr>
          <w:rFonts w:hint="eastAsia" w:ascii="宋体" w:hAnsi="宋体" w:cs="宋体"/>
          <w:b/>
          <w:sz w:val="30"/>
          <w:szCs w:val="30"/>
        </w:rPr>
        <w:t>目录</w:t>
      </w:r>
      <w:bookmarkEnd w:id="738"/>
    </w:p>
    <w:p>
      <w:pPr>
        <w:jc w:val="center"/>
        <w:rPr>
          <w:rFonts w:ascii="宋体" w:hAnsi="宋体" w:cs="宋体"/>
          <w:b/>
          <w:sz w:val="30"/>
          <w:szCs w:val="30"/>
        </w:rPr>
      </w:pPr>
    </w:p>
    <w:p>
      <w:pPr>
        <w:autoSpaceDE w:val="0"/>
        <w:autoSpaceDN w:val="0"/>
        <w:adjustRightInd w:val="0"/>
        <w:snapToGrid w:val="0"/>
        <w:spacing w:line="360" w:lineRule="auto"/>
        <w:jc w:val="left"/>
        <w:rPr>
          <w:rFonts w:ascii="宋体" w:hAnsi="宋体" w:cs="宋体"/>
          <w:kern w:val="0"/>
          <w:sz w:val="24"/>
        </w:rPr>
      </w:pPr>
      <w:r>
        <w:rPr>
          <w:rFonts w:hint="eastAsia" w:ascii="宋体" w:hAnsi="宋体" w:cs="宋体"/>
          <w:b/>
          <w:kern w:val="0"/>
          <w:sz w:val="24"/>
        </w:rPr>
        <w:t>一、</w:t>
      </w:r>
      <w:r>
        <w:rPr>
          <w:rFonts w:hint="eastAsia" w:ascii="宋体" w:hAnsi="宋体" w:cs="宋体"/>
          <w:kern w:val="0"/>
          <w:sz w:val="24"/>
        </w:rPr>
        <w:t>投标函部分和电子投标文件</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（一）投标函</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（二）投标函附录</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二、资格审查部分</w:t>
      </w:r>
    </w:p>
    <w:p>
      <w:pPr>
        <w:spacing w:line="360" w:lineRule="auto"/>
        <w:rPr>
          <w:rFonts w:ascii="宋体" w:hAnsi="宋体" w:cs="宋体"/>
          <w:sz w:val="24"/>
        </w:rPr>
      </w:pPr>
      <w:r>
        <w:rPr>
          <w:rFonts w:hint="eastAsia" w:ascii="宋体" w:hAnsi="宋体" w:cs="宋体"/>
          <w:sz w:val="24"/>
        </w:rPr>
        <w:t>（一）法定代表人身份证明及授权委托书</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（二）投标人基本情况表（应附投标人营业执照（三证合一）及其年检合格的证明材料、资质证书、安全生产许可证、银行开户许可证、纳税人证明、“三类人员”相应的安全生产考核合格证书等材料的复印件）</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（三）项目管理机构</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（四）近年完成的类似项目情况表（附有效业绩证明文件复印件-应附合同协议书或工程竣工验收证明书的复印件，具体年份要求见投标人须知前附表）</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（五）项目负责人业绩情况表及附件（附有效业绩证明文件复印件）</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（六）其他资料</w:t>
      </w:r>
    </w:p>
    <w:p>
      <w:pPr>
        <w:autoSpaceDE w:val="0"/>
        <w:autoSpaceDN w:val="0"/>
        <w:adjustRightInd w:val="0"/>
        <w:spacing w:line="360" w:lineRule="auto"/>
        <w:ind w:right="-20"/>
        <w:jc w:val="left"/>
        <w:rPr>
          <w:rFonts w:ascii="宋体" w:hAnsi="宋体" w:cs="宋体"/>
          <w:kern w:val="0"/>
          <w:sz w:val="24"/>
        </w:rPr>
      </w:pPr>
      <w:r>
        <w:rPr>
          <w:rFonts w:hint="eastAsia" w:ascii="宋体" w:hAnsi="宋体" w:cs="宋体"/>
          <w:kern w:val="0"/>
          <w:sz w:val="24"/>
        </w:rPr>
        <w:t>三、技术部分</w:t>
      </w:r>
    </w:p>
    <w:p>
      <w:pPr>
        <w:rPr>
          <w:rFonts w:ascii="宋体" w:hAnsi="宋体" w:cs="宋体"/>
          <w:b/>
          <w:sz w:val="24"/>
        </w:rPr>
      </w:pPr>
      <w:r>
        <w:rPr>
          <w:rFonts w:hint="eastAsia" w:ascii="宋体" w:hAnsi="宋体" w:cs="宋体"/>
          <w:kern w:val="0"/>
          <w:sz w:val="24"/>
        </w:rPr>
        <w:t>四、商务部分</w:t>
      </w:r>
    </w:p>
    <w:p>
      <w:pPr>
        <w:rPr>
          <w:rFonts w:ascii="宋体" w:hAnsi="宋体" w:cs="宋体"/>
          <w:b/>
          <w:sz w:val="24"/>
        </w:rPr>
      </w:pPr>
    </w:p>
    <w:p>
      <w:pPr>
        <w:rPr>
          <w:rFonts w:ascii="宋体" w:hAnsi="宋体" w:cs="宋体"/>
          <w:b/>
          <w:sz w:val="24"/>
        </w:rPr>
      </w:pPr>
    </w:p>
    <w:p>
      <w:pPr>
        <w:rPr>
          <w:rFonts w:ascii="宋体" w:hAnsi="宋体" w:cs="宋体"/>
          <w:b/>
          <w:sz w:val="24"/>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tabs>
          <w:tab w:val="left" w:pos="3600"/>
          <w:tab w:val="left" w:pos="4480"/>
          <w:tab w:val="left" w:pos="5360"/>
        </w:tabs>
        <w:autoSpaceDE w:val="0"/>
        <w:autoSpaceDN w:val="0"/>
        <w:adjustRightInd w:val="0"/>
        <w:snapToGrid w:val="0"/>
        <w:spacing w:line="360" w:lineRule="auto"/>
        <w:rPr>
          <w:rFonts w:ascii="宋体" w:hAnsi="宋体" w:cs="宋体"/>
          <w:kern w:val="0"/>
          <w:sz w:val="28"/>
          <w:szCs w:val="28"/>
        </w:rPr>
      </w:pPr>
    </w:p>
    <w:p>
      <w:pPr>
        <w:tabs>
          <w:tab w:val="left" w:pos="3600"/>
          <w:tab w:val="left" w:pos="4480"/>
          <w:tab w:val="left" w:pos="5360"/>
        </w:tabs>
        <w:autoSpaceDE w:val="0"/>
        <w:autoSpaceDN w:val="0"/>
        <w:adjustRightInd w:val="0"/>
        <w:snapToGrid w:val="0"/>
        <w:spacing w:line="360" w:lineRule="auto"/>
        <w:rPr>
          <w:rFonts w:ascii="宋体" w:hAnsi="宋体" w:cs="宋体"/>
          <w:kern w:val="0"/>
          <w:sz w:val="28"/>
          <w:szCs w:val="28"/>
          <w:u w:val="single"/>
        </w:rPr>
      </w:pPr>
    </w:p>
    <w:p>
      <w:pPr>
        <w:tabs>
          <w:tab w:val="left" w:pos="2980"/>
          <w:tab w:val="left" w:pos="5940"/>
        </w:tabs>
        <w:autoSpaceDE w:val="0"/>
        <w:autoSpaceDN w:val="0"/>
        <w:adjustRightInd w:val="0"/>
        <w:snapToGrid w:val="0"/>
        <w:spacing w:line="360" w:lineRule="auto"/>
        <w:jc w:val="center"/>
        <w:rPr>
          <w:rFonts w:ascii="宋体" w:hAnsi="宋体" w:cs="宋体"/>
          <w:b/>
          <w:sz w:val="44"/>
          <w:szCs w:val="32"/>
        </w:rPr>
      </w:pPr>
      <w:r>
        <w:rPr>
          <w:rFonts w:hint="eastAsia" w:ascii="宋体" w:hAnsi="宋体" w:cs="宋体"/>
          <w:b/>
          <w:sz w:val="44"/>
          <w:szCs w:val="32"/>
        </w:rPr>
        <w:t>西彭组团D63、D64地块厂房项目</w:t>
      </w:r>
    </w:p>
    <w:p>
      <w:pPr>
        <w:tabs>
          <w:tab w:val="left" w:pos="2980"/>
          <w:tab w:val="left" w:pos="5940"/>
        </w:tabs>
        <w:autoSpaceDE w:val="0"/>
        <w:autoSpaceDN w:val="0"/>
        <w:adjustRightInd w:val="0"/>
        <w:snapToGrid w:val="0"/>
        <w:spacing w:line="360" w:lineRule="auto"/>
        <w:jc w:val="center"/>
        <w:rPr>
          <w:rFonts w:ascii="宋体" w:hAnsi="宋体" w:cs="宋体"/>
          <w:kern w:val="0"/>
          <w:sz w:val="44"/>
          <w:szCs w:val="44"/>
        </w:rPr>
      </w:pPr>
      <w:r>
        <w:rPr>
          <w:rFonts w:hint="eastAsia" w:ascii="宋体" w:hAnsi="宋体" w:cs="宋体"/>
          <w:b/>
          <w:sz w:val="44"/>
          <w:szCs w:val="32"/>
        </w:rPr>
        <w:t>钢结构工程专业分包</w:t>
      </w: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宋体"/>
          <w:b/>
          <w:kern w:val="0"/>
          <w:sz w:val="56"/>
          <w:szCs w:val="84"/>
        </w:rPr>
      </w:pPr>
      <w:r>
        <w:rPr>
          <w:rFonts w:hint="eastAsia" w:ascii="宋体" w:hAnsi="宋体" w:cs="宋体"/>
          <w:b/>
          <w:kern w:val="0"/>
          <w:sz w:val="56"/>
          <w:szCs w:val="84"/>
        </w:rPr>
        <w:t>投标文件</w:t>
      </w:r>
    </w:p>
    <w:p>
      <w:pPr>
        <w:autoSpaceDE w:val="0"/>
        <w:autoSpaceDN w:val="0"/>
        <w:adjustRightInd w:val="0"/>
        <w:snapToGrid w:val="0"/>
        <w:spacing w:line="360" w:lineRule="auto"/>
        <w:jc w:val="left"/>
        <w:rPr>
          <w:rFonts w:ascii="宋体" w:hAnsi="宋体" w:cs="宋体"/>
          <w:kern w:val="0"/>
          <w:sz w:val="16"/>
          <w:szCs w:val="16"/>
        </w:rPr>
      </w:pPr>
    </w:p>
    <w:p>
      <w:pPr>
        <w:autoSpaceDE w:val="0"/>
        <w:autoSpaceDN w:val="0"/>
        <w:adjustRightInd w:val="0"/>
        <w:snapToGrid w:val="0"/>
        <w:spacing w:line="360" w:lineRule="auto"/>
        <w:jc w:val="center"/>
        <w:rPr>
          <w:rFonts w:ascii="宋体" w:hAnsi="宋体" w:cs="宋体"/>
          <w:b/>
          <w:kern w:val="0"/>
          <w:sz w:val="36"/>
          <w:szCs w:val="36"/>
        </w:rPr>
      </w:pPr>
      <w:r>
        <w:rPr>
          <w:rFonts w:hint="eastAsia" w:ascii="宋体" w:hAnsi="宋体" w:cs="宋体"/>
          <w:b/>
          <w:kern w:val="0"/>
          <w:sz w:val="36"/>
          <w:szCs w:val="36"/>
        </w:rPr>
        <w:t>投标函部分</w:t>
      </w: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投标人</w:t>
      </w:r>
      <w:r>
        <w:rPr>
          <w:rFonts w:hint="eastAsia" w:ascii="宋体" w:hAnsi="宋体" w:cs="宋体"/>
          <w:b/>
          <w:spacing w:val="1"/>
          <w:kern w:val="0"/>
          <w:sz w:val="28"/>
          <w:szCs w:val="28"/>
        </w:rPr>
        <w:t>：</w:t>
      </w:r>
      <w:r>
        <w:rPr>
          <w:rFonts w:hint="eastAsia" w:ascii="宋体" w:hAnsi="宋体" w:cs="宋体"/>
          <w:b/>
          <w:kern w:val="0"/>
          <w:sz w:val="28"/>
          <w:szCs w:val="28"/>
          <w:u w:val="single"/>
        </w:rPr>
        <w:t>　　　　 　　</w:t>
      </w:r>
      <w:r>
        <w:rPr>
          <w:rFonts w:hint="eastAsia" w:ascii="宋体" w:hAnsi="宋体" w:cs="宋体"/>
          <w:b/>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法定代表人或其委托代理人：</w:t>
      </w:r>
      <w:r>
        <w:rPr>
          <w:rFonts w:hint="eastAsia" w:ascii="宋体" w:hAnsi="宋体" w:cs="宋体"/>
          <w:b/>
          <w:kern w:val="0"/>
          <w:sz w:val="28"/>
          <w:szCs w:val="28"/>
          <w:u w:val="single"/>
        </w:rPr>
        <w:t>　　 　</w:t>
      </w:r>
      <w:r>
        <w:rPr>
          <w:rFonts w:hint="eastAsia" w:ascii="宋体" w:hAnsi="宋体" w:cs="宋体"/>
          <w:b/>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u w:val="single"/>
        </w:rPr>
        <w:t xml:space="preserve">     　</w:t>
      </w:r>
      <w:r>
        <w:rPr>
          <w:rFonts w:hint="eastAsia" w:ascii="宋体" w:hAnsi="宋体" w:cs="宋体"/>
          <w:b/>
          <w:kern w:val="0"/>
          <w:sz w:val="28"/>
          <w:szCs w:val="28"/>
        </w:rPr>
        <w:t>年月日</w:t>
      </w:r>
    </w:p>
    <w:p>
      <w:pPr>
        <w:autoSpaceDE w:val="0"/>
        <w:autoSpaceDN w:val="0"/>
        <w:adjustRightInd w:val="0"/>
        <w:snapToGrid w:val="0"/>
        <w:spacing w:line="360" w:lineRule="auto"/>
        <w:jc w:val="left"/>
        <w:rPr>
          <w:rFonts w:ascii="宋体" w:hAnsi="宋体" w:cs="宋体"/>
          <w:kern w:val="0"/>
          <w:sz w:val="24"/>
          <w:szCs w:val="21"/>
        </w:rPr>
      </w:pPr>
      <w:r>
        <w:rPr>
          <w:rFonts w:hint="eastAsia" w:ascii="宋体" w:hAnsi="宋体" w:cs="宋体"/>
          <w:kern w:val="0"/>
          <w:sz w:val="24"/>
          <w:szCs w:val="21"/>
        </w:rPr>
        <w:br w:type="page"/>
      </w:r>
    </w:p>
    <w:p>
      <w:pPr>
        <w:autoSpaceDE w:val="0"/>
        <w:autoSpaceDN w:val="0"/>
        <w:adjustRightInd w:val="0"/>
        <w:snapToGrid w:val="0"/>
        <w:spacing w:line="360" w:lineRule="auto"/>
        <w:jc w:val="center"/>
        <w:rPr>
          <w:rFonts w:ascii="宋体" w:hAnsi="宋体" w:cs="宋体"/>
          <w:sz w:val="28"/>
        </w:rPr>
      </w:pPr>
      <w:bookmarkStart w:id="739" w:name="_Toc287620814"/>
      <w:bookmarkStart w:id="740" w:name="_Toc224103495"/>
      <w:bookmarkStart w:id="741" w:name="_Toc287607867"/>
      <w:bookmarkStart w:id="742" w:name="_Toc277082643"/>
      <w:r>
        <w:rPr>
          <w:rFonts w:hint="eastAsia" w:ascii="宋体" w:hAnsi="宋体" w:cs="宋体"/>
          <w:sz w:val="28"/>
        </w:rPr>
        <w:t>（一）投标函</w:t>
      </w:r>
      <w:bookmarkEnd w:id="739"/>
      <w:bookmarkEnd w:id="740"/>
      <w:bookmarkEnd w:id="741"/>
      <w:bookmarkEnd w:id="742"/>
    </w:p>
    <w:p>
      <w:pPr>
        <w:spacing w:line="360" w:lineRule="auto"/>
        <w:ind w:right="-2" w:rightChars="-1"/>
        <w:jc w:val="center"/>
        <w:rPr>
          <w:rFonts w:ascii="宋体" w:hAnsi="宋体" w:cs="宋体"/>
          <w:b/>
          <w:bCs/>
          <w:sz w:val="32"/>
          <w:szCs w:val="32"/>
        </w:rPr>
      </w:pPr>
      <w:r>
        <w:rPr>
          <w:rFonts w:hint="eastAsia" w:ascii="宋体" w:hAnsi="宋体" w:cs="宋体"/>
          <w:b/>
          <w:bCs/>
          <w:sz w:val="32"/>
          <w:szCs w:val="32"/>
        </w:rPr>
        <w:t>投  标  函</w:t>
      </w:r>
    </w:p>
    <w:p>
      <w:pPr>
        <w:spacing w:line="400" w:lineRule="exact"/>
        <w:ind w:right="-2" w:rightChars="-1"/>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中机中联工程有限公司 </w:t>
      </w:r>
    </w:p>
    <w:p>
      <w:pPr>
        <w:spacing w:line="400" w:lineRule="exact"/>
        <w:ind w:right="-2" w:rightChars="-1" w:firstLine="420" w:firstLineChars="200"/>
        <w:rPr>
          <w:rFonts w:ascii="宋体" w:hAnsi="宋体" w:cs="宋体"/>
          <w:szCs w:val="21"/>
        </w:rPr>
      </w:pPr>
      <w:r>
        <w:rPr>
          <w:rFonts w:hint="eastAsia" w:ascii="宋体" w:hAnsi="宋体" w:cs="宋体"/>
          <w:szCs w:val="21"/>
        </w:rPr>
        <w:t>1.根据已收到贵方的《</w:t>
      </w:r>
      <w:r>
        <w:rPr>
          <w:rFonts w:hint="eastAsia" w:ascii="宋体" w:hAnsi="宋体" w:cs="宋体"/>
          <w:kern w:val="0"/>
          <w:szCs w:val="21"/>
          <w:u w:val="single"/>
        </w:rPr>
        <w:t>西彭组团D63、D64地块厂房项目钢结构工程专业分包</w:t>
      </w:r>
      <w:r>
        <w:rPr>
          <w:rFonts w:hint="eastAsia" w:ascii="宋体" w:hAnsi="宋体" w:cs="宋体"/>
          <w:szCs w:val="21"/>
        </w:rPr>
        <w:t>》的招标文件，并已详细审核了全部招标文件及有关附件，我们承诺已经理解并接受招标文件及其附件的所有内容并完全响应招标文件。</w:t>
      </w:r>
    </w:p>
    <w:p>
      <w:pPr>
        <w:spacing w:line="400" w:lineRule="exact"/>
        <w:ind w:right="-2" w:rightChars="-1" w:firstLine="420" w:firstLineChars="200"/>
        <w:rPr>
          <w:rFonts w:ascii="宋体" w:hAnsi="宋体" w:cs="宋体"/>
          <w:szCs w:val="21"/>
        </w:rPr>
      </w:pPr>
      <w:r>
        <w:rPr>
          <w:rFonts w:hint="eastAsia" w:ascii="宋体" w:hAnsi="宋体" w:cs="宋体"/>
          <w:szCs w:val="21"/>
        </w:rPr>
        <w:t>2.遵照《中华人民共和国招标投标法》等有关规定，经考察现场和研究上述招标文件的投标须知、合同条款、标准和技术规范、图纸及其他有关文件后，我方承诺：我方愿以：下浮率</w:t>
      </w:r>
      <w:r>
        <w:rPr>
          <w:rFonts w:hint="eastAsia" w:ascii="宋体" w:hAnsi="宋体" w:cs="宋体"/>
          <w:szCs w:val="21"/>
          <w:u w:val="single"/>
        </w:rPr>
        <w:t xml:space="preserve">    %</w:t>
      </w:r>
      <w:r>
        <w:rPr>
          <w:rFonts w:hint="eastAsia" w:ascii="宋体" w:hAnsi="宋体" w:cs="宋体"/>
          <w:szCs w:val="21"/>
        </w:rPr>
        <w:t>，其中安全文明施工费</w:t>
      </w:r>
      <w:r>
        <w:rPr>
          <w:rFonts w:hint="eastAsia" w:ascii="宋体" w:hAnsi="宋体" w:cs="宋体"/>
          <w:szCs w:val="21"/>
          <w:u w:val="single"/>
        </w:rPr>
        <w:t xml:space="preserve">     </w:t>
      </w:r>
      <w:r>
        <w:rPr>
          <w:rFonts w:hint="eastAsia" w:ascii="宋体" w:hAnsi="宋体" w:cs="宋体"/>
          <w:szCs w:val="21"/>
        </w:rPr>
        <w:t>元，作为我方最终投标价，按招标文件的所有要求和合同条款、标准、技术规范等的要求承包上述工程的施工、竣工并修补其任何缺陷。</w:t>
      </w:r>
    </w:p>
    <w:p>
      <w:pPr>
        <w:spacing w:line="400" w:lineRule="exact"/>
        <w:ind w:right="-2" w:rightChars="-1"/>
        <w:rPr>
          <w:rFonts w:ascii="宋体" w:hAnsi="宋体" w:cs="宋体"/>
          <w:szCs w:val="21"/>
        </w:rPr>
      </w:pPr>
      <w:r>
        <w:rPr>
          <w:rFonts w:hint="eastAsia" w:ascii="宋体" w:hAnsi="宋体" w:cs="宋体"/>
          <w:szCs w:val="21"/>
        </w:rPr>
        <w:t xml:space="preserve">   3.我方开具的增值税专票的发票费率材料采购</w:t>
      </w:r>
      <w:r>
        <w:rPr>
          <w:rFonts w:ascii="宋体" w:hAnsi="宋体" w:cs="宋体"/>
          <w:szCs w:val="21"/>
        </w:rPr>
        <w:t>及加工部分</w:t>
      </w:r>
      <w:r>
        <w:rPr>
          <w:rFonts w:hint="eastAsia" w:ascii="宋体" w:hAnsi="宋体" w:cs="宋体"/>
          <w:szCs w:val="21"/>
          <w:u w:val="single"/>
        </w:rPr>
        <w:t xml:space="preserve">    </w:t>
      </w:r>
      <w:r>
        <w:rPr>
          <w:rFonts w:hint="eastAsia" w:ascii="宋体" w:hAnsi="宋体" w:cs="宋体"/>
          <w:szCs w:val="21"/>
        </w:rPr>
        <w:t>%，</w:t>
      </w:r>
      <w:r>
        <w:rPr>
          <w:rFonts w:ascii="宋体" w:hAnsi="宋体" w:cs="宋体"/>
          <w:szCs w:val="21"/>
        </w:rPr>
        <w:t>安装部分</w:t>
      </w:r>
      <w:r>
        <w:rPr>
          <w:rFonts w:hint="eastAsia" w:ascii="宋体" w:hAnsi="宋体" w:cs="宋体"/>
          <w:szCs w:val="21"/>
          <w:u w:val="single"/>
        </w:rPr>
        <w:t xml:space="preserve">    </w:t>
      </w:r>
      <w:r>
        <w:rPr>
          <w:rFonts w:ascii="宋体" w:hAnsi="宋体" w:cs="宋体"/>
          <w:szCs w:val="21"/>
        </w:rPr>
        <w:t>%</w:t>
      </w:r>
      <w:r>
        <w:rPr>
          <w:rFonts w:hint="eastAsia" w:ascii="宋体" w:hAnsi="宋体" w:cs="宋体"/>
          <w:szCs w:val="21"/>
        </w:rPr>
        <w:t>。</w:t>
      </w:r>
    </w:p>
    <w:p>
      <w:pPr>
        <w:spacing w:line="400" w:lineRule="exact"/>
        <w:ind w:right="-2" w:rightChars="-1" w:firstLine="315" w:firstLineChars="150"/>
        <w:rPr>
          <w:rFonts w:ascii="宋体" w:hAnsi="宋体" w:cs="宋体"/>
          <w:szCs w:val="21"/>
          <w:u w:val="single"/>
        </w:rPr>
      </w:pPr>
      <w:r>
        <w:rPr>
          <w:rFonts w:hint="eastAsia" w:ascii="宋体" w:hAnsi="宋体" w:cs="宋体"/>
          <w:szCs w:val="21"/>
        </w:rPr>
        <w:t>4．随同本投标函提交投标保证金一份，金额为人民币（大写）</w:t>
      </w:r>
      <w:r>
        <w:rPr>
          <w:rFonts w:hint="eastAsia" w:ascii="宋体" w:hAnsi="宋体" w:cs="宋体"/>
          <w:szCs w:val="21"/>
          <w:u w:val="single"/>
        </w:rPr>
        <w:tab/>
      </w:r>
      <w:r>
        <w:rPr>
          <w:rFonts w:ascii="宋体" w:hAnsi="宋体" w:cs="宋体"/>
          <w:szCs w:val="21"/>
          <w:u w:val="single"/>
        </w:rPr>
        <w:t xml:space="preserve">   </w:t>
      </w:r>
      <w:r>
        <w:rPr>
          <w:rFonts w:hint="eastAsia" w:ascii="宋体" w:hAnsi="宋体" w:cs="宋体"/>
          <w:szCs w:val="21"/>
        </w:rPr>
        <w:t>元。</w:t>
      </w:r>
    </w:p>
    <w:p>
      <w:pPr>
        <w:spacing w:line="400" w:lineRule="exact"/>
        <w:ind w:right="-2" w:rightChars="-1"/>
        <w:rPr>
          <w:rFonts w:ascii="宋体" w:hAnsi="宋体" w:cs="宋体"/>
          <w:szCs w:val="21"/>
        </w:rPr>
      </w:pPr>
      <w:r>
        <w:rPr>
          <w:rFonts w:hint="eastAsia" w:ascii="宋体" w:hAnsi="宋体" w:cs="宋体"/>
          <w:szCs w:val="21"/>
        </w:rPr>
        <w:t xml:space="preserve">   5.我方完全理解和接受招标文件的相关规定，并承诺一旦我方的投标出现严重违规或涉嫌串通投标的情形而被贵方评标小组废标的，将自觉接受贵方暂停或者取消今后我方参加贵方其他任何工程投标资格并没收投标保证金的处理。</w:t>
      </w:r>
    </w:p>
    <w:p>
      <w:pPr>
        <w:spacing w:line="400" w:lineRule="exact"/>
        <w:ind w:right="-2" w:rightChars="-1"/>
        <w:rPr>
          <w:rFonts w:ascii="宋体" w:hAnsi="宋体" w:cs="宋体"/>
          <w:szCs w:val="21"/>
        </w:rPr>
      </w:pPr>
      <w:r>
        <w:rPr>
          <w:rFonts w:hint="eastAsia" w:ascii="宋体" w:hAnsi="宋体" w:cs="宋体"/>
          <w:szCs w:val="21"/>
        </w:rPr>
        <w:t xml:space="preserve">   6. 如果我方中标，我方保证按招标文件中规定的工期，在日历天内竣工验收合格并向贵方移交完毕，质量标准达到招标文件中的要求。</w:t>
      </w:r>
    </w:p>
    <w:p>
      <w:pPr>
        <w:spacing w:line="400" w:lineRule="exact"/>
        <w:ind w:right="-2" w:rightChars="-1"/>
        <w:rPr>
          <w:rFonts w:ascii="宋体" w:hAnsi="宋体" w:cs="宋体"/>
          <w:szCs w:val="21"/>
        </w:rPr>
      </w:pPr>
      <w:r>
        <w:rPr>
          <w:rFonts w:hint="eastAsia" w:ascii="宋体" w:hAnsi="宋体" w:cs="宋体"/>
          <w:szCs w:val="21"/>
        </w:rPr>
        <w:t xml:space="preserve">   7.如果我方中标，我方将按照规定提交由贵方认可的，并在招标文件中规定金额的履约保函；我方无正当理由不与招标人签订施工合同的，接受取消中标资格，没收投标保证金的处理。</w:t>
      </w:r>
    </w:p>
    <w:p>
      <w:pPr>
        <w:spacing w:line="400" w:lineRule="exact"/>
        <w:ind w:right="-2" w:rightChars="-1" w:firstLine="315" w:firstLineChars="150"/>
        <w:rPr>
          <w:rFonts w:ascii="宋体" w:hAnsi="宋体" w:cs="宋体"/>
          <w:szCs w:val="21"/>
        </w:rPr>
      </w:pPr>
      <w:r>
        <w:rPr>
          <w:rFonts w:hint="eastAsia" w:ascii="宋体" w:hAnsi="宋体" w:cs="宋体"/>
          <w:szCs w:val="21"/>
        </w:rPr>
        <w:t>8. 如果我方中标，在签订合同期间我方单方面要求涨价，将接受贵方取消中标资格，没收投标保证金的处理。</w:t>
      </w:r>
    </w:p>
    <w:p>
      <w:pPr>
        <w:spacing w:line="400" w:lineRule="exact"/>
        <w:ind w:right="-2" w:rightChars="-1"/>
        <w:rPr>
          <w:rFonts w:ascii="宋体" w:hAnsi="宋体" w:cs="宋体"/>
          <w:szCs w:val="21"/>
        </w:rPr>
      </w:pPr>
      <w:r>
        <w:rPr>
          <w:rFonts w:hint="eastAsia" w:ascii="宋体" w:hAnsi="宋体" w:cs="宋体"/>
          <w:szCs w:val="21"/>
        </w:rPr>
        <w:t xml:space="preserve">   9.除非另外达成协议并生效，贵方的中标通知书和本投标文件将成为约束双方的合同文件的组成部分。</w:t>
      </w:r>
    </w:p>
    <w:p>
      <w:pPr>
        <w:spacing w:line="400" w:lineRule="exact"/>
        <w:ind w:right="-2" w:rightChars="-1" w:firstLine="315" w:firstLineChars="150"/>
        <w:rPr>
          <w:rFonts w:ascii="宋体" w:hAnsi="宋体" w:cs="宋体"/>
          <w:szCs w:val="21"/>
        </w:rPr>
      </w:pPr>
      <w:r>
        <w:rPr>
          <w:rFonts w:hint="eastAsia" w:ascii="宋体" w:hAnsi="宋体" w:cs="宋体"/>
          <w:szCs w:val="21"/>
        </w:rPr>
        <w:t>10、如果我方中标，我方将按投标文件配备管理班子。如未经招标人同意更换管理班子成员，贵方有权取消我方的中标资格或单方面终止合同，由此造成的违约责任由我方承担。</w:t>
      </w:r>
    </w:p>
    <w:p>
      <w:pPr>
        <w:spacing w:line="400" w:lineRule="exact"/>
        <w:ind w:right="-2" w:rightChars="-1"/>
        <w:rPr>
          <w:rFonts w:ascii="宋体" w:hAnsi="宋体" w:cs="宋体"/>
          <w:szCs w:val="21"/>
        </w:rPr>
      </w:pPr>
      <w:r>
        <w:rPr>
          <w:rFonts w:hint="eastAsia" w:ascii="宋体" w:hAnsi="宋体" w:cs="宋体"/>
          <w:szCs w:val="21"/>
        </w:rPr>
        <w:t>投标人(盖章)：</w:t>
      </w:r>
    </w:p>
    <w:p>
      <w:pPr>
        <w:spacing w:line="400" w:lineRule="exact"/>
        <w:ind w:right="-2" w:rightChars="-1"/>
        <w:rPr>
          <w:rFonts w:ascii="宋体" w:hAnsi="宋体" w:cs="宋体"/>
          <w:szCs w:val="21"/>
        </w:rPr>
      </w:pPr>
      <w:r>
        <w:rPr>
          <w:rFonts w:hint="eastAsia" w:ascii="宋体" w:hAnsi="宋体" w:cs="宋体"/>
          <w:szCs w:val="21"/>
        </w:rPr>
        <w:t>单位地址：</w:t>
      </w:r>
    </w:p>
    <w:p>
      <w:pPr>
        <w:spacing w:line="400" w:lineRule="exact"/>
        <w:ind w:right="-2" w:rightChars="-1"/>
        <w:rPr>
          <w:rFonts w:ascii="宋体" w:hAnsi="宋体" w:cs="宋体"/>
          <w:szCs w:val="21"/>
        </w:rPr>
      </w:pPr>
      <w:r>
        <w:rPr>
          <w:rFonts w:hint="eastAsia" w:ascii="宋体" w:hAnsi="宋体" w:cs="宋体"/>
          <w:szCs w:val="21"/>
        </w:rPr>
        <w:t>法定代表人或其授权委托人(签字或盖章)：</w:t>
      </w:r>
    </w:p>
    <w:p>
      <w:pPr>
        <w:spacing w:line="400" w:lineRule="exact"/>
        <w:ind w:right="-2" w:rightChars="-1"/>
        <w:rPr>
          <w:rFonts w:ascii="宋体" w:hAnsi="宋体" w:cs="宋体"/>
          <w:szCs w:val="21"/>
        </w:rPr>
      </w:pPr>
      <w:r>
        <w:rPr>
          <w:rFonts w:hint="eastAsia" w:ascii="宋体" w:hAnsi="宋体" w:cs="宋体"/>
          <w:szCs w:val="21"/>
        </w:rPr>
        <w:t>邮政编码：电话： 传真：</w:t>
      </w:r>
    </w:p>
    <w:p>
      <w:pPr>
        <w:spacing w:line="400" w:lineRule="exact"/>
        <w:ind w:right="-2" w:rightChars="-1"/>
        <w:rPr>
          <w:rFonts w:ascii="宋体" w:hAnsi="宋体" w:cs="宋体"/>
          <w:szCs w:val="21"/>
        </w:rPr>
      </w:pPr>
      <w:r>
        <w:rPr>
          <w:rFonts w:hint="eastAsia" w:ascii="宋体" w:hAnsi="宋体" w:cs="宋体"/>
          <w:szCs w:val="21"/>
        </w:rPr>
        <w:t>开户银行名称：</w:t>
      </w:r>
    </w:p>
    <w:p>
      <w:pPr>
        <w:spacing w:line="400" w:lineRule="exact"/>
        <w:ind w:right="-2" w:rightChars="-1"/>
        <w:rPr>
          <w:rFonts w:ascii="宋体" w:hAnsi="宋体" w:cs="宋体"/>
          <w:szCs w:val="21"/>
        </w:rPr>
      </w:pPr>
      <w:r>
        <w:rPr>
          <w:rFonts w:hint="eastAsia" w:ascii="宋体" w:hAnsi="宋体" w:cs="宋体"/>
          <w:szCs w:val="21"/>
        </w:rPr>
        <w:t>开户银行帐号：</w:t>
      </w:r>
    </w:p>
    <w:p>
      <w:pPr>
        <w:spacing w:line="400" w:lineRule="exact"/>
        <w:ind w:right="-2" w:rightChars="-1"/>
        <w:rPr>
          <w:rFonts w:ascii="宋体" w:hAnsi="宋体" w:cs="宋体"/>
          <w:szCs w:val="21"/>
        </w:rPr>
      </w:pPr>
      <w:r>
        <w:rPr>
          <w:rFonts w:hint="eastAsia" w:ascii="宋体" w:hAnsi="宋体" w:cs="宋体"/>
          <w:szCs w:val="21"/>
        </w:rPr>
        <w:t>开户银行地址：</w:t>
      </w:r>
    </w:p>
    <w:p>
      <w:pPr>
        <w:spacing w:line="400" w:lineRule="exact"/>
        <w:ind w:right="-2" w:rightChars="-1"/>
        <w:rPr>
          <w:rFonts w:ascii="宋体" w:hAnsi="宋体" w:cs="宋体"/>
          <w:szCs w:val="21"/>
        </w:rPr>
      </w:pPr>
      <w:r>
        <w:rPr>
          <w:rFonts w:hint="eastAsia" w:ascii="宋体" w:hAnsi="宋体" w:cs="宋体"/>
          <w:szCs w:val="21"/>
        </w:rPr>
        <w:t>开户银行电话：</w:t>
      </w:r>
    </w:p>
    <w:p>
      <w:pPr>
        <w:tabs>
          <w:tab w:val="left" w:pos="6000"/>
          <w:tab w:val="left" w:pos="7040"/>
          <w:tab w:val="left" w:pos="8100"/>
        </w:tabs>
        <w:autoSpaceDE w:val="0"/>
        <w:autoSpaceDN w:val="0"/>
        <w:adjustRightInd w:val="0"/>
        <w:spacing w:line="400" w:lineRule="exact"/>
        <w:ind w:right="-20" w:firstLine="4924" w:firstLineChars="2345"/>
        <w:jc w:val="left"/>
        <w:rPr>
          <w:rFonts w:ascii="宋体" w:hAnsi="宋体" w:cs="宋体"/>
          <w:snapToGrid w:val="0"/>
          <w:kern w:val="0"/>
          <w:szCs w:val="21"/>
        </w:rPr>
      </w:pPr>
      <w:r>
        <w:rPr>
          <w:rFonts w:hint="eastAsia" w:ascii="宋体" w:hAnsi="宋体" w:cs="宋体"/>
          <w:szCs w:val="21"/>
        </w:rPr>
        <w:t>日期：年月日</w:t>
      </w:r>
      <w:bookmarkStart w:id="743" w:name="_Toc287607868"/>
      <w:bookmarkStart w:id="744" w:name="_Toc277082644"/>
      <w:bookmarkStart w:id="745" w:name="_Toc287620815"/>
      <w:bookmarkStart w:id="746" w:name="_Toc224103496"/>
    </w:p>
    <w:p>
      <w:pPr>
        <w:pStyle w:val="4"/>
        <w:jc w:val="center"/>
        <w:rPr>
          <w:rFonts w:ascii="宋体" w:hAnsi="宋体" w:cs="宋体"/>
          <w:sz w:val="28"/>
        </w:rPr>
      </w:pPr>
      <w:r>
        <w:rPr>
          <w:rFonts w:hint="eastAsia" w:ascii="宋体" w:hAnsi="宋体" w:cs="宋体"/>
          <w:sz w:val="28"/>
        </w:rPr>
        <w:t>（二）投标函附录</w:t>
      </w:r>
      <w:bookmarkEnd w:id="743"/>
      <w:bookmarkEnd w:id="744"/>
      <w:bookmarkEnd w:id="745"/>
      <w:bookmarkEnd w:id="746"/>
    </w:p>
    <w:tbl>
      <w:tblPr>
        <w:tblStyle w:val="60"/>
        <w:tblW w:w="8057" w:type="dxa"/>
        <w:tblInd w:w="112" w:type="dxa"/>
        <w:tblLayout w:type="fixed"/>
        <w:tblCellMar>
          <w:top w:w="0" w:type="dxa"/>
          <w:left w:w="0" w:type="dxa"/>
          <w:bottom w:w="0" w:type="dxa"/>
          <w:right w:w="0" w:type="dxa"/>
        </w:tblCellMar>
      </w:tblPr>
      <w:tblGrid>
        <w:gridCol w:w="645"/>
        <w:gridCol w:w="2270"/>
        <w:gridCol w:w="1743"/>
        <w:gridCol w:w="2783"/>
        <w:gridCol w:w="616"/>
      </w:tblGrid>
      <w:tr>
        <w:tblPrEx>
          <w:tblLayout w:type="fixed"/>
          <w:tblCellMar>
            <w:top w:w="0" w:type="dxa"/>
            <w:left w:w="0" w:type="dxa"/>
            <w:bottom w:w="0" w:type="dxa"/>
            <w:right w:w="0" w:type="dxa"/>
          </w:tblCellMar>
        </w:tblPrEx>
        <w:trPr>
          <w:trHeight w:val="680" w:hRule="exact"/>
        </w:trPr>
        <w:tc>
          <w:tcPr>
            <w:tcW w:w="645" w:type="dxa"/>
            <w:tcBorders>
              <w:top w:val="single" w:color="000000" w:sz="4" w:space="0"/>
              <w:left w:val="single" w:color="000000" w:sz="4" w:space="0"/>
              <w:bottom w:val="single" w:color="000000" w:sz="6" w:space="0"/>
              <w:right w:val="single" w:color="000000" w:sz="6" w:space="0"/>
            </w:tcBorders>
          </w:tcPr>
          <w:p>
            <w:pPr>
              <w:autoSpaceDE w:val="0"/>
              <w:autoSpaceDN w:val="0"/>
              <w:adjustRightInd w:val="0"/>
              <w:spacing w:before="73" w:line="360" w:lineRule="auto"/>
              <w:ind w:left="109" w:right="-20"/>
              <w:jc w:val="left"/>
              <w:rPr>
                <w:rFonts w:ascii="宋体" w:hAnsi="宋体" w:cs="宋体"/>
                <w:snapToGrid w:val="0"/>
                <w:kern w:val="0"/>
                <w:sz w:val="24"/>
              </w:rPr>
            </w:pPr>
            <w:r>
              <w:rPr>
                <w:rFonts w:hint="eastAsia" w:ascii="宋体" w:hAnsi="宋体" w:cs="宋体"/>
                <w:snapToGrid w:val="0"/>
                <w:kern w:val="0"/>
                <w:sz w:val="24"/>
              </w:rPr>
              <w:t>序号</w:t>
            </w:r>
          </w:p>
        </w:tc>
        <w:tc>
          <w:tcPr>
            <w:tcW w:w="2270" w:type="dxa"/>
            <w:tcBorders>
              <w:top w:val="single" w:color="000000" w:sz="4" w:space="0"/>
              <w:left w:val="single" w:color="000000" w:sz="6" w:space="0"/>
              <w:bottom w:val="single" w:color="000000" w:sz="6" w:space="0"/>
              <w:right w:val="single" w:color="000000" w:sz="6" w:space="0"/>
            </w:tcBorders>
          </w:tcPr>
          <w:p>
            <w:pPr>
              <w:autoSpaceDE w:val="0"/>
              <w:autoSpaceDN w:val="0"/>
              <w:adjustRightInd w:val="0"/>
              <w:spacing w:before="73" w:line="360" w:lineRule="auto"/>
              <w:ind w:left="741" w:right="-20"/>
              <w:jc w:val="left"/>
              <w:rPr>
                <w:rFonts w:ascii="宋体" w:hAnsi="宋体" w:cs="宋体"/>
                <w:snapToGrid w:val="0"/>
                <w:kern w:val="0"/>
                <w:sz w:val="24"/>
              </w:rPr>
            </w:pPr>
            <w:r>
              <w:rPr>
                <w:rFonts w:hint="eastAsia" w:ascii="宋体" w:hAnsi="宋体" w:cs="宋体"/>
                <w:snapToGrid w:val="0"/>
                <w:kern w:val="0"/>
                <w:sz w:val="24"/>
              </w:rPr>
              <w:t>条款名称</w:t>
            </w:r>
          </w:p>
        </w:tc>
        <w:tc>
          <w:tcPr>
            <w:tcW w:w="1743" w:type="dxa"/>
            <w:tcBorders>
              <w:top w:val="single" w:color="000000" w:sz="4" w:space="0"/>
              <w:left w:val="single" w:color="000000" w:sz="6" w:space="0"/>
              <w:bottom w:val="single" w:color="000000" w:sz="6" w:space="0"/>
              <w:right w:val="single" w:color="000000" w:sz="6" w:space="0"/>
            </w:tcBorders>
          </w:tcPr>
          <w:p>
            <w:pPr>
              <w:autoSpaceDE w:val="0"/>
              <w:autoSpaceDN w:val="0"/>
              <w:adjustRightInd w:val="0"/>
              <w:spacing w:before="73" w:line="360" w:lineRule="auto"/>
              <w:ind w:left="548" w:right="-20"/>
              <w:jc w:val="left"/>
              <w:rPr>
                <w:rFonts w:ascii="宋体" w:hAnsi="宋体" w:cs="宋体"/>
                <w:snapToGrid w:val="0"/>
                <w:kern w:val="0"/>
                <w:sz w:val="24"/>
              </w:rPr>
            </w:pPr>
            <w:r>
              <w:rPr>
                <w:rFonts w:hint="eastAsia" w:ascii="宋体" w:hAnsi="宋体" w:cs="宋体"/>
                <w:snapToGrid w:val="0"/>
                <w:kern w:val="0"/>
                <w:sz w:val="24"/>
              </w:rPr>
              <w:t>合同条款号</w:t>
            </w:r>
          </w:p>
        </w:tc>
        <w:tc>
          <w:tcPr>
            <w:tcW w:w="2783" w:type="dxa"/>
            <w:tcBorders>
              <w:top w:val="single" w:color="000000" w:sz="4" w:space="0"/>
              <w:left w:val="single" w:color="000000" w:sz="6" w:space="0"/>
              <w:bottom w:val="single" w:color="000000" w:sz="6" w:space="0"/>
              <w:right w:val="single" w:color="000000" w:sz="6" w:space="0"/>
            </w:tcBorders>
          </w:tcPr>
          <w:p>
            <w:pPr>
              <w:autoSpaceDE w:val="0"/>
              <w:autoSpaceDN w:val="0"/>
              <w:adjustRightInd w:val="0"/>
              <w:spacing w:before="73" w:line="360" w:lineRule="auto"/>
              <w:ind w:left="914" w:right="894"/>
              <w:jc w:val="center"/>
              <w:rPr>
                <w:rFonts w:ascii="宋体" w:hAnsi="宋体" w:cs="宋体"/>
                <w:snapToGrid w:val="0"/>
                <w:kern w:val="0"/>
                <w:sz w:val="24"/>
              </w:rPr>
            </w:pPr>
            <w:r>
              <w:rPr>
                <w:rFonts w:hint="eastAsia" w:ascii="宋体" w:hAnsi="宋体" w:cs="宋体"/>
                <w:snapToGrid w:val="0"/>
                <w:kern w:val="0"/>
                <w:sz w:val="24"/>
              </w:rPr>
              <w:t>约定内容</w:t>
            </w:r>
          </w:p>
        </w:tc>
        <w:tc>
          <w:tcPr>
            <w:tcW w:w="616" w:type="dxa"/>
            <w:tcBorders>
              <w:top w:val="single" w:color="000000" w:sz="4" w:space="0"/>
              <w:left w:val="single" w:color="000000" w:sz="6" w:space="0"/>
              <w:bottom w:val="single" w:color="000000" w:sz="6" w:space="0"/>
              <w:right w:val="single" w:color="000000" w:sz="4" w:space="0"/>
            </w:tcBorders>
          </w:tcPr>
          <w:p>
            <w:pPr>
              <w:autoSpaceDE w:val="0"/>
              <w:autoSpaceDN w:val="0"/>
              <w:adjustRightInd w:val="0"/>
              <w:spacing w:before="73" w:line="360" w:lineRule="auto"/>
              <w:ind w:left="143" w:right="-20"/>
              <w:jc w:val="left"/>
              <w:rPr>
                <w:rFonts w:ascii="宋体" w:hAnsi="宋体" w:cs="宋体"/>
                <w:snapToGrid w:val="0"/>
                <w:kern w:val="0"/>
                <w:sz w:val="24"/>
              </w:rPr>
            </w:pPr>
            <w:r>
              <w:rPr>
                <w:rFonts w:hint="eastAsia" w:ascii="宋体" w:hAnsi="宋体" w:cs="宋体"/>
                <w:snapToGrid w:val="0"/>
                <w:kern w:val="0"/>
                <w:sz w:val="24"/>
              </w:rPr>
              <w:t>备注</w:t>
            </w:r>
          </w:p>
        </w:tc>
      </w:tr>
      <w:tr>
        <w:tblPrEx>
          <w:tblLayout w:type="fixed"/>
          <w:tblCellMar>
            <w:top w:w="0" w:type="dxa"/>
            <w:left w:w="0" w:type="dxa"/>
            <w:bottom w:w="0" w:type="dxa"/>
            <w:right w:w="0" w:type="dxa"/>
          </w:tblCellMar>
        </w:tblPrEx>
        <w:trPr>
          <w:trHeight w:val="680" w:hRule="exact"/>
        </w:trPr>
        <w:tc>
          <w:tcPr>
            <w:tcW w:w="645" w:type="dxa"/>
            <w:tcBorders>
              <w:top w:val="single" w:color="000000" w:sz="6" w:space="0"/>
              <w:left w:val="single" w:color="000000" w:sz="4" w:space="0"/>
              <w:bottom w:val="single" w:color="000000" w:sz="6" w:space="0"/>
              <w:right w:val="single" w:color="000000" w:sz="6" w:space="0"/>
            </w:tcBorders>
          </w:tcPr>
          <w:p>
            <w:pPr>
              <w:autoSpaceDE w:val="0"/>
              <w:autoSpaceDN w:val="0"/>
              <w:adjustRightInd w:val="0"/>
              <w:spacing w:line="360" w:lineRule="auto"/>
              <w:ind w:left="266" w:right="246"/>
              <w:jc w:val="center"/>
              <w:rPr>
                <w:rFonts w:ascii="宋体" w:hAnsi="宋体" w:cs="宋体"/>
                <w:snapToGrid w:val="0"/>
                <w:kern w:val="0"/>
                <w:sz w:val="24"/>
              </w:rPr>
            </w:pPr>
            <w:r>
              <w:rPr>
                <w:rFonts w:hint="eastAsia" w:ascii="宋体" w:hAnsi="宋体" w:cs="宋体"/>
                <w:snapToGrid w:val="0"/>
                <w:kern w:val="0"/>
                <w:sz w:val="24"/>
              </w:rPr>
              <w:t>1</w:t>
            </w:r>
          </w:p>
        </w:tc>
        <w:tc>
          <w:tcPr>
            <w:tcW w:w="227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73" w:line="360" w:lineRule="auto"/>
              <w:ind w:left="744" w:right="-20"/>
              <w:rPr>
                <w:rFonts w:ascii="宋体" w:hAnsi="宋体" w:cs="宋体"/>
                <w:snapToGrid w:val="0"/>
                <w:kern w:val="0"/>
                <w:sz w:val="24"/>
              </w:rPr>
            </w:pPr>
            <w:r>
              <w:rPr>
                <w:rFonts w:hint="eastAsia" w:ascii="宋体" w:hAnsi="宋体" w:cs="宋体"/>
                <w:snapToGrid w:val="0"/>
                <w:kern w:val="0"/>
                <w:sz w:val="24"/>
              </w:rPr>
              <w:t>项目经理</w:t>
            </w:r>
          </w:p>
        </w:tc>
        <w:tc>
          <w:tcPr>
            <w:tcW w:w="174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1.1.2.4</w:t>
            </w:r>
          </w:p>
        </w:tc>
        <w:tc>
          <w:tcPr>
            <w:tcW w:w="2783" w:type="dxa"/>
            <w:tcBorders>
              <w:top w:val="single" w:color="000000" w:sz="6" w:space="0"/>
              <w:left w:val="single" w:color="000000" w:sz="6" w:space="0"/>
              <w:bottom w:val="single" w:color="000000" w:sz="6" w:space="0"/>
              <w:right w:val="single" w:color="000000" w:sz="6" w:space="0"/>
            </w:tcBorders>
          </w:tcPr>
          <w:p>
            <w:pPr>
              <w:tabs>
                <w:tab w:val="left" w:pos="1880"/>
              </w:tabs>
              <w:autoSpaceDE w:val="0"/>
              <w:autoSpaceDN w:val="0"/>
              <w:adjustRightInd w:val="0"/>
              <w:spacing w:before="73" w:line="360" w:lineRule="auto"/>
              <w:ind w:left="103" w:right="-20"/>
              <w:jc w:val="center"/>
              <w:rPr>
                <w:rFonts w:ascii="宋体" w:hAnsi="宋体" w:cs="宋体"/>
                <w:snapToGrid w:val="0"/>
                <w:kern w:val="0"/>
                <w:sz w:val="24"/>
              </w:rPr>
            </w:pPr>
            <w:r>
              <w:rPr>
                <w:rFonts w:hint="eastAsia" w:ascii="宋体" w:hAnsi="宋体" w:cs="宋体"/>
                <w:snapToGrid w:val="0"/>
                <w:kern w:val="0"/>
                <w:sz w:val="24"/>
              </w:rPr>
              <w:t>姓名：</w:t>
            </w:r>
          </w:p>
        </w:tc>
        <w:tc>
          <w:tcPr>
            <w:tcW w:w="616" w:type="dxa"/>
            <w:tcBorders>
              <w:top w:val="single" w:color="000000" w:sz="6" w:space="0"/>
              <w:left w:val="single" w:color="000000" w:sz="6" w:space="0"/>
              <w:bottom w:val="single" w:color="000000" w:sz="6" w:space="0"/>
              <w:right w:val="single" w:color="000000" w:sz="4" w:space="0"/>
            </w:tcBorders>
          </w:tcPr>
          <w:p>
            <w:pPr>
              <w:autoSpaceDE w:val="0"/>
              <w:autoSpaceDN w:val="0"/>
              <w:adjustRightInd w:val="0"/>
              <w:spacing w:line="360" w:lineRule="auto"/>
              <w:jc w:val="left"/>
              <w:rPr>
                <w:rFonts w:ascii="宋体" w:hAnsi="宋体" w:cs="宋体"/>
                <w:snapToGrid w:val="0"/>
                <w:kern w:val="0"/>
                <w:sz w:val="24"/>
              </w:rPr>
            </w:pPr>
          </w:p>
        </w:tc>
      </w:tr>
      <w:tr>
        <w:tblPrEx>
          <w:tblLayout w:type="fixed"/>
          <w:tblCellMar>
            <w:top w:w="0" w:type="dxa"/>
            <w:left w:w="0" w:type="dxa"/>
            <w:bottom w:w="0" w:type="dxa"/>
            <w:right w:w="0" w:type="dxa"/>
          </w:tblCellMar>
        </w:tblPrEx>
        <w:trPr>
          <w:trHeight w:val="680" w:hRule="exact"/>
        </w:trPr>
        <w:tc>
          <w:tcPr>
            <w:tcW w:w="645" w:type="dxa"/>
            <w:tcBorders>
              <w:top w:val="single" w:color="000000" w:sz="6" w:space="0"/>
              <w:left w:val="single" w:color="000000" w:sz="4" w:space="0"/>
              <w:bottom w:val="single" w:color="000000" w:sz="6" w:space="0"/>
              <w:right w:val="single" w:color="000000" w:sz="6" w:space="0"/>
            </w:tcBorders>
          </w:tcPr>
          <w:p>
            <w:pPr>
              <w:autoSpaceDE w:val="0"/>
              <w:autoSpaceDN w:val="0"/>
              <w:adjustRightInd w:val="0"/>
              <w:spacing w:line="360" w:lineRule="auto"/>
              <w:ind w:left="266" w:right="246"/>
              <w:jc w:val="center"/>
              <w:rPr>
                <w:rFonts w:ascii="宋体" w:hAnsi="宋体" w:cs="宋体"/>
                <w:snapToGrid w:val="0"/>
                <w:kern w:val="0"/>
                <w:sz w:val="24"/>
              </w:rPr>
            </w:pPr>
            <w:r>
              <w:rPr>
                <w:rFonts w:hint="eastAsia" w:ascii="宋体" w:hAnsi="宋体" w:cs="宋体"/>
                <w:snapToGrid w:val="0"/>
                <w:kern w:val="0"/>
                <w:sz w:val="24"/>
              </w:rPr>
              <w:t>2</w:t>
            </w:r>
          </w:p>
        </w:tc>
        <w:tc>
          <w:tcPr>
            <w:tcW w:w="227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73" w:line="360" w:lineRule="auto"/>
              <w:ind w:left="682" w:right="826"/>
              <w:jc w:val="center"/>
              <w:rPr>
                <w:rFonts w:ascii="宋体" w:hAnsi="宋体" w:cs="宋体"/>
                <w:snapToGrid w:val="0"/>
                <w:kern w:val="0"/>
                <w:sz w:val="24"/>
              </w:rPr>
            </w:pPr>
            <w:r>
              <w:rPr>
                <w:rFonts w:hint="eastAsia" w:ascii="宋体" w:hAnsi="宋体" w:cs="宋体"/>
                <w:snapToGrid w:val="0"/>
                <w:kern w:val="0"/>
                <w:sz w:val="24"/>
              </w:rPr>
              <w:t>工期</w:t>
            </w:r>
          </w:p>
        </w:tc>
        <w:tc>
          <w:tcPr>
            <w:tcW w:w="174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1.1.4.3</w:t>
            </w:r>
          </w:p>
        </w:tc>
        <w:tc>
          <w:tcPr>
            <w:tcW w:w="2783" w:type="dxa"/>
            <w:tcBorders>
              <w:top w:val="single" w:color="000000" w:sz="6" w:space="0"/>
              <w:left w:val="single" w:color="000000" w:sz="6" w:space="0"/>
              <w:bottom w:val="single" w:color="000000" w:sz="6" w:space="0"/>
              <w:right w:val="single" w:color="000000" w:sz="6" w:space="0"/>
            </w:tcBorders>
          </w:tcPr>
          <w:p>
            <w:pPr>
              <w:tabs>
                <w:tab w:val="left" w:pos="1560"/>
              </w:tabs>
              <w:autoSpaceDE w:val="0"/>
              <w:autoSpaceDN w:val="0"/>
              <w:adjustRightInd w:val="0"/>
              <w:spacing w:before="73" w:line="360" w:lineRule="auto"/>
              <w:ind w:left="103" w:right="-20"/>
              <w:jc w:val="center"/>
              <w:rPr>
                <w:rFonts w:ascii="宋体" w:hAnsi="宋体" w:cs="宋体"/>
                <w:snapToGrid w:val="0"/>
                <w:kern w:val="0"/>
                <w:sz w:val="24"/>
              </w:rPr>
            </w:pPr>
            <w:r>
              <w:rPr>
                <w:rFonts w:hint="eastAsia" w:ascii="宋体" w:hAnsi="宋体" w:cs="宋体"/>
                <w:snapToGrid w:val="0"/>
                <w:kern w:val="0"/>
                <w:sz w:val="24"/>
              </w:rPr>
              <w:t>天数：</w:t>
            </w:r>
            <w:r>
              <w:rPr>
                <w:rFonts w:hint="eastAsia" w:ascii="宋体" w:hAnsi="宋体" w:cs="宋体"/>
                <w:snapToGrid w:val="0"/>
                <w:kern w:val="0"/>
                <w:sz w:val="24"/>
                <w:u w:val="single"/>
              </w:rPr>
              <w:tab/>
            </w:r>
            <w:r>
              <w:rPr>
                <w:rFonts w:hint="eastAsia" w:ascii="宋体" w:hAnsi="宋体" w:cs="宋体"/>
                <w:snapToGrid w:val="0"/>
                <w:kern w:val="0"/>
                <w:sz w:val="24"/>
              </w:rPr>
              <w:t>日历天</w:t>
            </w:r>
          </w:p>
        </w:tc>
        <w:tc>
          <w:tcPr>
            <w:tcW w:w="616" w:type="dxa"/>
            <w:tcBorders>
              <w:top w:val="single" w:color="000000" w:sz="6" w:space="0"/>
              <w:left w:val="single" w:color="000000" w:sz="6" w:space="0"/>
              <w:bottom w:val="single" w:color="000000" w:sz="6" w:space="0"/>
              <w:right w:val="single" w:color="000000" w:sz="4" w:space="0"/>
            </w:tcBorders>
          </w:tcPr>
          <w:p>
            <w:pPr>
              <w:autoSpaceDE w:val="0"/>
              <w:autoSpaceDN w:val="0"/>
              <w:adjustRightInd w:val="0"/>
              <w:spacing w:line="360" w:lineRule="auto"/>
              <w:jc w:val="left"/>
              <w:rPr>
                <w:rFonts w:ascii="宋体" w:hAnsi="宋体" w:cs="宋体"/>
                <w:snapToGrid w:val="0"/>
                <w:kern w:val="0"/>
                <w:sz w:val="24"/>
              </w:rPr>
            </w:pPr>
          </w:p>
        </w:tc>
      </w:tr>
      <w:tr>
        <w:tblPrEx>
          <w:tblLayout w:type="fixed"/>
          <w:tblCellMar>
            <w:top w:w="0" w:type="dxa"/>
            <w:left w:w="0" w:type="dxa"/>
            <w:bottom w:w="0" w:type="dxa"/>
            <w:right w:w="0" w:type="dxa"/>
          </w:tblCellMar>
        </w:tblPrEx>
        <w:trPr>
          <w:trHeight w:val="680" w:hRule="exact"/>
        </w:trPr>
        <w:tc>
          <w:tcPr>
            <w:tcW w:w="645" w:type="dxa"/>
            <w:tcBorders>
              <w:top w:val="single" w:color="000000" w:sz="6" w:space="0"/>
              <w:left w:val="single" w:color="000000" w:sz="4" w:space="0"/>
              <w:bottom w:val="single" w:color="000000" w:sz="6" w:space="0"/>
              <w:right w:val="single" w:color="000000" w:sz="6" w:space="0"/>
            </w:tcBorders>
          </w:tcPr>
          <w:p>
            <w:pPr>
              <w:autoSpaceDE w:val="0"/>
              <w:autoSpaceDN w:val="0"/>
              <w:adjustRightInd w:val="0"/>
              <w:spacing w:line="360" w:lineRule="auto"/>
              <w:ind w:left="266" w:right="246"/>
              <w:jc w:val="center"/>
              <w:rPr>
                <w:rFonts w:ascii="宋体" w:hAnsi="宋体" w:cs="宋体"/>
                <w:snapToGrid w:val="0"/>
                <w:kern w:val="0"/>
                <w:sz w:val="24"/>
              </w:rPr>
            </w:pPr>
            <w:r>
              <w:rPr>
                <w:rFonts w:hint="eastAsia" w:ascii="宋体" w:hAnsi="宋体" w:cs="宋体"/>
                <w:snapToGrid w:val="0"/>
                <w:kern w:val="0"/>
                <w:sz w:val="24"/>
              </w:rPr>
              <w:t>3</w:t>
            </w:r>
          </w:p>
        </w:tc>
        <w:tc>
          <w:tcPr>
            <w:tcW w:w="227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73" w:line="360" w:lineRule="auto"/>
              <w:ind w:left="638" w:right="-20"/>
              <w:jc w:val="center"/>
              <w:rPr>
                <w:rFonts w:ascii="宋体" w:hAnsi="宋体" w:cs="宋体"/>
                <w:snapToGrid w:val="0"/>
                <w:kern w:val="0"/>
                <w:sz w:val="24"/>
              </w:rPr>
            </w:pPr>
            <w:r>
              <w:rPr>
                <w:rFonts w:hint="eastAsia" w:ascii="宋体" w:hAnsi="宋体" w:cs="宋体"/>
                <w:snapToGrid w:val="0"/>
                <w:kern w:val="0"/>
                <w:sz w:val="24"/>
              </w:rPr>
              <w:t>缺陷责任期</w:t>
            </w:r>
          </w:p>
        </w:tc>
        <w:tc>
          <w:tcPr>
            <w:tcW w:w="174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1.1.4.5</w:t>
            </w:r>
          </w:p>
        </w:tc>
        <w:tc>
          <w:tcPr>
            <w:tcW w:w="2783"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line="360" w:lineRule="auto"/>
              <w:jc w:val="center"/>
              <w:rPr>
                <w:rFonts w:ascii="宋体" w:hAnsi="宋体" w:cs="宋体"/>
                <w:snapToGrid w:val="0"/>
                <w:kern w:val="0"/>
                <w:sz w:val="24"/>
              </w:rPr>
            </w:pPr>
          </w:p>
        </w:tc>
        <w:tc>
          <w:tcPr>
            <w:tcW w:w="616" w:type="dxa"/>
            <w:tcBorders>
              <w:top w:val="single" w:color="000000" w:sz="6" w:space="0"/>
              <w:left w:val="single" w:color="000000" w:sz="6" w:space="0"/>
              <w:bottom w:val="single" w:color="000000" w:sz="6" w:space="0"/>
              <w:right w:val="single" w:color="000000" w:sz="4" w:space="0"/>
            </w:tcBorders>
          </w:tcPr>
          <w:p>
            <w:pPr>
              <w:autoSpaceDE w:val="0"/>
              <w:autoSpaceDN w:val="0"/>
              <w:adjustRightInd w:val="0"/>
              <w:spacing w:line="360" w:lineRule="auto"/>
              <w:jc w:val="left"/>
              <w:rPr>
                <w:rFonts w:ascii="宋体" w:hAnsi="宋体" w:cs="宋体"/>
                <w:snapToGrid w:val="0"/>
                <w:kern w:val="0"/>
                <w:sz w:val="24"/>
              </w:rPr>
            </w:pPr>
          </w:p>
        </w:tc>
      </w:tr>
      <w:tr>
        <w:tblPrEx>
          <w:tblLayout w:type="fixed"/>
          <w:tblCellMar>
            <w:top w:w="0" w:type="dxa"/>
            <w:left w:w="0" w:type="dxa"/>
            <w:bottom w:w="0" w:type="dxa"/>
            <w:right w:w="0" w:type="dxa"/>
          </w:tblCellMar>
        </w:tblPrEx>
        <w:trPr>
          <w:trHeight w:val="680" w:hRule="exact"/>
        </w:trPr>
        <w:tc>
          <w:tcPr>
            <w:tcW w:w="645" w:type="dxa"/>
            <w:tcBorders>
              <w:top w:val="single" w:color="000000" w:sz="6" w:space="0"/>
              <w:left w:val="single" w:color="000000" w:sz="4" w:space="0"/>
              <w:bottom w:val="single" w:color="000000" w:sz="6" w:space="0"/>
              <w:right w:val="single" w:color="000000" w:sz="6" w:space="0"/>
            </w:tcBorders>
          </w:tcPr>
          <w:p>
            <w:pPr>
              <w:autoSpaceDE w:val="0"/>
              <w:autoSpaceDN w:val="0"/>
              <w:adjustRightInd w:val="0"/>
              <w:spacing w:line="360" w:lineRule="auto"/>
              <w:ind w:left="266" w:right="246"/>
              <w:jc w:val="center"/>
              <w:rPr>
                <w:rFonts w:ascii="宋体" w:hAnsi="宋体" w:cs="宋体"/>
                <w:snapToGrid w:val="0"/>
                <w:kern w:val="0"/>
                <w:sz w:val="24"/>
              </w:rPr>
            </w:pPr>
            <w:r>
              <w:rPr>
                <w:rFonts w:hint="eastAsia" w:ascii="宋体" w:hAnsi="宋体" w:cs="宋体"/>
                <w:snapToGrid w:val="0"/>
                <w:kern w:val="0"/>
                <w:sz w:val="24"/>
              </w:rPr>
              <w:t>4</w:t>
            </w:r>
          </w:p>
        </w:tc>
        <w:tc>
          <w:tcPr>
            <w:tcW w:w="227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73" w:line="360" w:lineRule="auto"/>
              <w:ind w:left="949" w:right="826"/>
              <w:jc w:val="center"/>
              <w:rPr>
                <w:rFonts w:ascii="宋体" w:hAnsi="宋体" w:cs="宋体"/>
                <w:snapToGrid w:val="0"/>
                <w:kern w:val="0"/>
                <w:sz w:val="24"/>
              </w:rPr>
            </w:pPr>
            <w:r>
              <w:rPr>
                <w:rFonts w:hint="eastAsia" w:ascii="宋体" w:hAnsi="宋体" w:cs="宋体"/>
                <w:snapToGrid w:val="0"/>
                <w:kern w:val="0"/>
                <w:sz w:val="24"/>
              </w:rPr>
              <w:t>分包</w:t>
            </w:r>
          </w:p>
        </w:tc>
        <w:tc>
          <w:tcPr>
            <w:tcW w:w="174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4.3.4</w:t>
            </w:r>
          </w:p>
        </w:tc>
        <w:tc>
          <w:tcPr>
            <w:tcW w:w="2783"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line="360" w:lineRule="auto"/>
              <w:jc w:val="center"/>
              <w:rPr>
                <w:rFonts w:ascii="宋体" w:hAnsi="宋体" w:cs="宋体"/>
                <w:snapToGrid w:val="0"/>
                <w:kern w:val="0"/>
                <w:sz w:val="24"/>
              </w:rPr>
            </w:pPr>
          </w:p>
        </w:tc>
        <w:tc>
          <w:tcPr>
            <w:tcW w:w="616" w:type="dxa"/>
            <w:tcBorders>
              <w:top w:val="single" w:color="000000" w:sz="6" w:space="0"/>
              <w:left w:val="single" w:color="000000" w:sz="6" w:space="0"/>
              <w:bottom w:val="single" w:color="000000" w:sz="6" w:space="0"/>
              <w:right w:val="single" w:color="000000" w:sz="4" w:space="0"/>
            </w:tcBorders>
          </w:tcPr>
          <w:p>
            <w:pPr>
              <w:autoSpaceDE w:val="0"/>
              <w:autoSpaceDN w:val="0"/>
              <w:adjustRightInd w:val="0"/>
              <w:spacing w:line="360" w:lineRule="auto"/>
              <w:jc w:val="left"/>
              <w:rPr>
                <w:rFonts w:ascii="宋体" w:hAnsi="宋体" w:cs="宋体"/>
                <w:snapToGrid w:val="0"/>
                <w:kern w:val="0"/>
                <w:sz w:val="24"/>
              </w:rPr>
            </w:pPr>
          </w:p>
        </w:tc>
      </w:tr>
      <w:tr>
        <w:tblPrEx>
          <w:tblLayout w:type="fixed"/>
          <w:tblCellMar>
            <w:top w:w="0" w:type="dxa"/>
            <w:left w:w="0" w:type="dxa"/>
            <w:bottom w:w="0" w:type="dxa"/>
            <w:right w:w="0" w:type="dxa"/>
          </w:tblCellMar>
        </w:tblPrEx>
        <w:trPr>
          <w:trHeight w:val="680" w:hRule="exact"/>
        </w:trPr>
        <w:tc>
          <w:tcPr>
            <w:tcW w:w="645" w:type="dxa"/>
            <w:tcBorders>
              <w:top w:val="single" w:color="000000" w:sz="6" w:space="0"/>
              <w:left w:val="single" w:color="000000" w:sz="4" w:space="0"/>
              <w:bottom w:val="single" w:color="000000" w:sz="6" w:space="0"/>
              <w:right w:val="single" w:color="000000" w:sz="6" w:space="0"/>
            </w:tcBorders>
          </w:tcPr>
          <w:p>
            <w:pPr>
              <w:autoSpaceDE w:val="0"/>
              <w:autoSpaceDN w:val="0"/>
              <w:adjustRightInd w:val="0"/>
              <w:spacing w:line="360" w:lineRule="auto"/>
              <w:ind w:left="266" w:right="246"/>
              <w:jc w:val="center"/>
              <w:rPr>
                <w:rFonts w:ascii="宋体" w:hAnsi="宋体" w:cs="宋体"/>
                <w:snapToGrid w:val="0"/>
                <w:kern w:val="0"/>
                <w:sz w:val="24"/>
              </w:rPr>
            </w:pPr>
            <w:r>
              <w:rPr>
                <w:rFonts w:hint="eastAsia" w:ascii="宋体" w:hAnsi="宋体" w:cs="宋体"/>
                <w:snapToGrid w:val="0"/>
                <w:kern w:val="0"/>
                <w:sz w:val="24"/>
              </w:rPr>
              <w:t>5</w:t>
            </w:r>
          </w:p>
        </w:tc>
        <w:tc>
          <w:tcPr>
            <w:tcW w:w="2270"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73" w:line="360" w:lineRule="auto"/>
              <w:ind w:left="103" w:right="-20"/>
              <w:jc w:val="center"/>
              <w:rPr>
                <w:rFonts w:ascii="宋体" w:hAnsi="宋体" w:cs="宋体"/>
                <w:snapToGrid w:val="0"/>
                <w:kern w:val="0"/>
                <w:sz w:val="24"/>
              </w:rPr>
            </w:pPr>
          </w:p>
        </w:tc>
        <w:tc>
          <w:tcPr>
            <w:tcW w:w="174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p>
        </w:tc>
        <w:tc>
          <w:tcPr>
            <w:tcW w:w="2783" w:type="dxa"/>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before="73" w:line="360" w:lineRule="auto"/>
              <w:ind w:left="103" w:right="-20"/>
              <w:jc w:val="center"/>
              <w:rPr>
                <w:rFonts w:ascii="宋体" w:hAnsi="宋体" w:cs="宋体"/>
                <w:snapToGrid w:val="0"/>
                <w:kern w:val="0"/>
                <w:sz w:val="24"/>
              </w:rPr>
            </w:pPr>
          </w:p>
        </w:tc>
        <w:tc>
          <w:tcPr>
            <w:tcW w:w="616" w:type="dxa"/>
            <w:tcBorders>
              <w:top w:val="single" w:color="000000" w:sz="6" w:space="0"/>
              <w:left w:val="single" w:color="000000" w:sz="6" w:space="0"/>
              <w:bottom w:val="single" w:color="000000" w:sz="6" w:space="0"/>
              <w:right w:val="single" w:color="000000" w:sz="4" w:space="0"/>
            </w:tcBorders>
          </w:tcPr>
          <w:p>
            <w:pPr>
              <w:autoSpaceDE w:val="0"/>
              <w:autoSpaceDN w:val="0"/>
              <w:adjustRightInd w:val="0"/>
              <w:spacing w:line="360" w:lineRule="auto"/>
              <w:jc w:val="left"/>
              <w:rPr>
                <w:rFonts w:ascii="宋体" w:hAnsi="宋体" w:cs="宋体"/>
                <w:snapToGrid w:val="0"/>
                <w:kern w:val="0"/>
                <w:sz w:val="24"/>
              </w:rPr>
            </w:pPr>
          </w:p>
        </w:tc>
      </w:tr>
      <w:tr>
        <w:tblPrEx>
          <w:tblLayout w:type="fixed"/>
          <w:tblCellMar>
            <w:top w:w="0" w:type="dxa"/>
            <w:left w:w="0" w:type="dxa"/>
            <w:bottom w:w="0" w:type="dxa"/>
            <w:right w:w="0" w:type="dxa"/>
          </w:tblCellMar>
        </w:tblPrEx>
        <w:trPr>
          <w:trHeight w:val="680" w:hRule="exact"/>
        </w:trPr>
        <w:tc>
          <w:tcPr>
            <w:tcW w:w="645" w:type="dxa"/>
            <w:tcBorders>
              <w:top w:val="single" w:color="000000" w:sz="6" w:space="0"/>
              <w:left w:val="single" w:color="000000" w:sz="4"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w:t>
            </w:r>
          </w:p>
        </w:tc>
        <w:tc>
          <w:tcPr>
            <w:tcW w:w="2270"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w:t>
            </w:r>
          </w:p>
        </w:tc>
        <w:tc>
          <w:tcPr>
            <w:tcW w:w="174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w:t>
            </w:r>
          </w:p>
        </w:tc>
        <w:tc>
          <w:tcPr>
            <w:tcW w:w="278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w:t>
            </w: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snapToGrid w:val="0"/>
                <w:kern w:val="0"/>
                <w:sz w:val="24"/>
              </w:rPr>
            </w:pPr>
          </w:p>
        </w:tc>
      </w:tr>
      <w:tr>
        <w:tblPrEx>
          <w:tblLayout w:type="fixed"/>
          <w:tblCellMar>
            <w:top w:w="0" w:type="dxa"/>
            <w:left w:w="0" w:type="dxa"/>
            <w:bottom w:w="0" w:type="dxa"/>
            <w:right w:w="0" w:type="dxa"/>
          </w:tblCellMar>
        </w:tblPrEx>
        <w:trPr>
          <w:trHeight w:val="680" w:hRule="exact"/>
        </w:trPr>
        <w:tc>
          <w:tcPr>
            <w:tcW w:w="645" w:type="dxa"/>
            <w:tcBorders>
              <w:top w:val="single" w:color="000000" w:sz="6" w:space="0"/>
              <w:left w:val="single" w:color="000000" w:sz="4"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w:t>
            </w:r>
          </w:p>
        </w:tc>
        <w:tc>
          <w:tcPr>
            <w:tcW w:w="2270"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w:t>
            </w:r>
          </w:p>
        </w:tc>
        <w:tc>
          <w:tcPr>
            <w:tcW w:w="174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w:t>
            </w:r>
          </w:p>
        </w:tc>
        <w:tc>
          <w:tcPr>
            <w:tcW w:w="2783" w:type="dxa"/>
            <w:tcBorders>
              <w:top w:val="single" w:color="000000" w:sz="6" w:space="0"/>
              <w:left w:val="single" w:color="000000" w:sz="6" w:space="0"/>
              <w:bottom w:val="single" w:color="000000" w:sz="6" w:space="0"/>
              <w:right w:val="single" w:color="000000" w:sz="6" w:space="0"/>
            </w:tcBorders>
          </w:tcPr>
          <w:p>
            <w:pPr>
              <w:tabs>
                <w:tab w:val="left" w:pos="2051"/>
              </w:tabs>
              <w:autoSpaceDE w:val="0"/>
              <w:autoSpaceDN w:val="0"/>
              <w:adjustRightInd w:val="0"/>
              <w:spacing w:line="360" w:lineRule="auto"/>
              <w:ind w:left="160" w:leftChars="76" w:right="110"/>
              <w:jc w:val="center"/>
              <w:rPr>
                <w:rFonts w:ascii="宋体" w:hAnsi="宋体" w:cs="宋体"/>
                <w:snapToGrid w:val="0"/>
                <w:kern w:val="0"/>
                <w:sz w:val="24"/>
              </w:rPr>
            </w:pPr>
            <w:r>
              <w:rPr>
                <w:rFonts w:hint="eastAsia" w:ascii="宋体" w:hAnsi="宋体" w:cs="宋体"/>
                <w:snapToGrid w:val="0"/>
                <w:kern w:val="0"/>
                <w:sz w:val="24"/>
              </w:rPr>
              <w:t>……</w:t>
            </w:r>
          </w:p>
        </w:tc>
        <w:tc>
          <w:tcPr>
            <w:tcW w:w="616" w:type="dxa"/>
            <w:tcBorders>
              <w:top w:val="single" w:color="000000" w:sz="6" w:space="0"/>
              <w:left w:val="single" w:color="000000" w:sz="6" w:space="0"/>
              <w:bottom w:val="single" w:color="000000" w:sz="6" w:space="0"/>
              <w:right w:val="single" w:color="000000" w:sz="4" w:space="0"/>
            </w:tcBorders>
            <w:vAlign w:val="center"/>
          </w:tcPr>
          <w:p>
            <w:pPr>
              <w:autoSpaceDE w:val="0"/>
              <w:autoSpaceDN w:val="0"/>
              <w:adjustRightInd w:val="0"/>
              <w:spacing w:line="360" w:lineRule="auto"/>
              <w:jc w:val="center"/>
              <w:rPr>
                <w:rFonts w:ascii="宋体" w:hAnsi="宋体" w:cs="宋体"/>
                <w:snapToGrid w:val="0"/>
                <w:kern w:val="0"/>
                <w:sz w:val="24"/>
              </w:rPr>
            </w:pPr>
          </w:p>
        </w:tc>
      </w:tr>
    </w:tbl>
    <w:p>
      <w:pPr>
        <w:autoSpaceDE w:val="0"/>
        <w:autoSpaceDN w:val="0"/>
        <w:adjustRightInd w:val="0"/>
        <w:spacing w:line="200" w:lineRule="exact"/>
        <w:jc w:val="left"/>
        <w:rPr>
          <w:rFonts w:ascii="宋体" w:hAnsi="宋体" w:cs="宋体"/>
          <w:snapToGrid w:val="0"/>
          <w:kern w:val="0"/>
          <w:sz w:val="20"/>
          <w:szCs w:val="20"/>
        </w:rPr>
      </w:pPr>
    </w:p>
    <w:p>
      <w:pPr>
        <w:autoSpaceDE w:val="0"/>
        <w:autoSpaceDN w:val="0"/>
        <w:adjustRightInd w:val="0"/>
        <w:spacing w:line="200" w:lineRule="exact"/>
        <w:jc w:val="left"/>
        <w:rPr>
          <w:rFonts w:ascii="宋体" w:hAnsi="宋体" w:cs="宋体"/>
          <w:snapToGrid w:val="0"/>
          <w:kern w:val="0"/>
          <w:sz w:val="20"/>
          <w:szCs w:val="20"/>
        </w:rPr>
      </w:pPr>
    </w:p>
    <w:p>
      <w:pPr>
        <w:autoSpaceDE w:val="0"/>
        <w:autoSpaceDN w:val="0"/>
        <w:adjustRightInd w:val="0"/>
        <w:spacing w:line="200" w:lineRule="exact"/>
        <w:jc w:val="left"/>
        <w:rPr>
          <w:rFonts w:ascii="宋体" w:hAnsi="宋体" w:cs="宋体"/>
          <w:snapToGrid w:val="0"/>
          <w:kern w:val="0"/>
          <w:sz w:val="20"/>
          <w:szCs w:val="20"/>
        </w:rPr>
      </w:pPr>
    </w:p>
    <w:p>
      <w:pPr>
        <w:rPr>
          <w:rFonts w:ascii="宋体" w:hAnsi="宋体" w:cs="宋体"/>
          <w:snapToGrid w:val="0"/>
        </w:rPr>
      </w:pPr>
    </w:p>
    <w:p>
      <w:pPr>
        <w:rPr>
          <w:rFonts w:ascii="宋体" w:hAnsi="宋体" w:cs="宋体"/>
          <w:snapToGrid w:val="0"/>
        </w:rPr>
      </w:pPr>
    </w:p>
    <w:p>
      <w:pPr>
        <w:rPr>
          <w:rFonts w:ascii="宋体" w:hAnsi="宋体" w:cs="宋体"/>
          <w:snapToGrid w:val="0"/>
        </w:rPr>
      </w:pPr>
    </w:p>
    <w:p>
      <w:pPr>
        <w:tabs>
          <w:tab w:val="left" w:pos="7140"/>
          <w:tab w:val="left" w:pos="7560"/>
          <w:tab w:val="left" w:pos="8300"/>
        </w:tabs>
        <w:autoSpaceDE w:val="0"/>
        <w:autoSpaceDN w:val="0"/>
        <w:adjustRightInd w:val="0"/>
        <w:spacing w:line="370" w:lineRule="auto"/>
        <w:ind w:right="210" w:firstLine="3129" w:firstLineChars="1490"/>
        <w:rPr>
          <w:rFonts w:ascii="宋体" w:hAnsi="宋体" w:cs="宋体"/>
          <w:snapToGrid w:val="0"/>
          <w:kern w:val="0"/>
          <w:szCs w:val="21"/>
        </w:rPr>
      </w:pPr>
      <w:r>
        <w:rPr>
          <w:rFonts w:hint="eastAsia" w:ascii="宋体" w:hAnsi="宋体" w:cs="宋体"/>
          <w:snapToGrid w:val="0"/>
          <w:kern w:val="0"/>
          <w:szCs w:val="21"/>
        </w:rPr>
        <w:t>投标人：</w:t>
      </w:r>
      <w:r>
        <w:rPr>
          <w:rFonts w:hint="eastAsia" w:ascii="宋体" w:hAnsi="宋体" w:cs="宋体"/>
          <w:snapToGrid w:val="0"/>
          <w:kern w:val="0"/>
          <w:szCs w:val="21"/>
          <w:u w:val="single"/>
        </w:rPr>
        <w:t xml:space="preserve">                　　　　　     </w:t>
      </w:r>
      <w:r>
        <w:rPr>
          <w:rFonts w:hint="eastAsia" w:ascii="宋体" w:hAnsi="宋体" w:cs="宋体"/>
          <w:snapToGrid w:val="0"/>
          <w:kern w:val="0"/>
          <w:szCs w:val="21"/>
        </w:rPr>
        <w:t>（盖单位章）</w:t>
      </w:r>
    </w:p>
    <w:p>
      <w:pPr>
        <w:tabs>
          <w:tab w:val="left" w:pos="7140"/>
          <w:tab w:val="left" w:pos="7560"/>
          <w:tab w:val="left" w:pos="8300"/>
        </w:tabs>
        <w:autoSpaceDE w:val="0"/>
        <w:autoSpaceDN w:val="0"/>
        <w:adjustRightInd w:val="0"/>
        <w:spacing w:line="370" w:lineRule="auto"/>
        <w:ind w:right="210" w:firstLine="3150" w:firstLineChars="1500"/>
        <w:rPr>
          <w:rFonts w:ascii="宋体" w:hAnsi="宋体" w:cs="宋体"/>
          <w:snapToGrid w:val="0"/>
          <w:kern w:val="0"/>
          <w:szCs w:val="21"/>
        </w:rPr>
      </w:pPr>
      <w:r>
        <w:rPr>
          <w:rFonts w:hint="eastAsia" w:ascii="宋体" w:hAnsi="宋体" w:cs="宋体"/>
          <w:snapToGrid w:val="0"/>
          <w:kern w:val="0"/>
          <w:szCs w:val="21"/>
        </w:rPr>
        <w:t>法定代表人或其委托代理人：</w:t>
      </w:r>
      <w:r>
        <w:rPr>
          <w:rFonts w:hint="eastAsia" w:ascii="宋体" w:hAnsi="宋体" w:cs="宋体"/>
          <w:snapToGrid w:val="0"/>
          <w:kern w:val="0"/>
          <w:szCs w:val="21"/>
          <w:u w:val="single"/>
        </w:rPr>
        <w:tab/>
      </w:r>
      <w:r>
        <w:rPr>
          <w:rFonts w:hint="eastAsia" w:ascii="宋体" w:hAnsi="宋体" w:cs="宋体"/>
          <w:snapToGrid w:val="0"/>
          <w:kern w:val="0"/>
          <w:szCs w:val="21"/>
        </w:rPr>
        <w:t>（签字）</w:t>
      </w:r>
    </w:p>
    <w:p>
      <w:pPr>
        <w:tabs>
          <w:tab w:val="left" w:pos="6000"/>
          <w:tab w:val="left" w:pos="7040"/>
          <w:tab w:val="left" w:pos="8100"/>
        </w:tabs>
        <w:autoSpaceDE w:val="0"/>
        <w:autoSpaceDN w:val="0"/>
        <w:adjustRightInd w:val="0"/>
        <w:spacing w:line="220" w:lineRule="exact"/>
        <w:ind w:right="-20" w:firstLine="3465" w:firstLineChars="1650"/>
        <w:jc w:val="left"/>
        <w:rPr>
          <w:rFonts w:ascii="宋体" w:hAnsi="宋体" w:cs="宋体"/>
          <w:snapToGrid w:val="0"/>
          <w:kern w:val="0"/>
          <w:szCs w:val="21"/>
        </w:rPr>
      </w:pPr>
      <w:r>
        <w:rPr>
          <w:rFonts w:hint="eastAsia" w:ascii="宋体" w:hAnsi="宋体" w:cs="宋体"/>
          <w:snapToGrid w:val="0"/>
          <w:kern w:val="0"/>
          <w:szCs w:val="21"/>
        </w:rPr>
        <w:t>年月日</w:t>
      </w:r>
    </w:p>
    <w:p>
      <w:pPr>
        <w:tabs>
          <w:tab w:val="left" w:pos="7140"/>
          <w:tab w:val="left" w:pos="7560"/>
          <w:tab w:val="left" w:pos="8300"/>
        </w:tabs>
        <w:autoSpaceDE w:val="0"/>
        <w:autoSpaceDN w:val="0"/>
        <w:adjustRightInd w:val="0"/>
        <w:spacing w:line="370" w:lineRule="auto"/>
        <w:ind w:right="210" w:firstLine="1995" w:firstLineChars="950"/>
        <w:rPr>
          <w:rFonts w:ascii="宋体" w:hAnsi="宋体" w:cs="宋体"/>
          <w:snapToGrid w:val="0"/>
          <w:kern w:val="0"/>
          <w:szCs w:val="21"/>
        </w:rPr>
      </w:pPr>
    </w:p>
    <w:p>
      <w:pPr>
        <w:rPr>
          <w:rFonts w:ascii="宋体" w:hAnsi="宋体" w:cs="宋体"/>
          <w:snapToGrid w:val="0"/>
        </w:rPr>
        <w:sectPr>
          <w:pgSz w:w="11906" w:h="16838"/>
          <w:pgMar w:top="1418" w:right="1361" w:bottom="1418" w:left="1418" w:header="851" w:footer="992" w:gutter="0"/>
          <w:cols w:space="720" w:num="1"/>
          <w:docGrid w:linePitch="312" w:charSpace="0"/>
        </w:sectPr>
      </w:pPr>
    </w:p>
    <w:p>
      <w:pPr>
        <w:tabs>
          <w:tab w:val="left" w:pos="3600"/>
          <w:tab w:val="left" w:pos="4480"/>
          <w:tab w:val="left" w:pos="5360"/>
        </w:tabs>
        <w:autoSpaceDE w:val="0"/>
        <w:autoSpaceDN w:val="0"/>
        <w:adjustRightInd w:val="0"/>
        <w:snapToGrid w:val="0"/>
        <w:spacing w:line="360" w:lineRule="auto"/>
        <w:rPr>
          <w:rFonts w:ascii="宋体" w:hAnsi="宋体" w:cs="宋体"/>
          <w:kern w:val="0"/>
          <w:sz w:val="28"/>
          <w:szCs w:val="28"/>
          <w:u w:val="single"/>
        </w:rPr>
      </w:pPr>
    </w:p>
    <w:p>
      <w:pPr>
        <w:tabs>
          <w:tab w:val="left" w:pos="2980"/>
          <w:tab w:val="left" w:pos="5940"/>
        </w:tabs>
        <w:autoSpaceDE w:val="0"/>
        <w:autoSpaceDN w:val="0"/>
        <w:adjustRightInd w:val="0"/>
        <w:snapToGrid w:val="0"/>
        <w:spacing w:line="360" w:lineRule="auto"/>
        <w:jc w:val="center"/>
        <w:rPr>
          <w:rFonts w:ascii="宋体" w:hAnsi="宋体" w:cs="宋体"/>
          <w:b/>
          <w:sz w:val="44"/>
          <w:szCs w:val="32"/>
        </w:rPr>
      </w:pPr>
      <w:r>
        <w:rPr>
          <w:rFonts w:hint="eastAsia" w:ascii="宋体" w:hAnsi="宋体" w:cs="宋体"/>
          <w:b/>
          <w:sz w:val="44"/>
          <w:szCs w:val="32"/>
        </w:rPr>
        <w:t>西彭组团D63、D64地块厂房项目</w:t>
      </w:r>
    </w:p>
    <w:p>
      <w:pPr>
        <w:tabs>
          <w:tab w:val="left" w:pos="2980"/>
          <w:tab w:val="left" w:pos="5940"/>
        </w:tabs>
        <w:autoSpaceDE w:val="0"/>
        <w:autoSpaceDN w:val="0"/>
        <w:adjustRightInd w:val="0"/>
        <w:snapToGrid w:val="0"/>
        <w:spacing w:line="360" w:lineRule="auto"/>
        <w:jc w:val="center"/>
        <w:rPr>
          <w:rFonts w:ascii="宋体" w:hAnsi="宋体" w:cs="宋体"/>
          <w:kern w:val="0"/>
          <w:sz w:val="44"/>
          <w:szCs w:val="44"/>
        </w:rPr>
      </w:pPr>
      <w:r>
        <w:rPr>
          <w:rFonts w:hint="eastAsia" w:ascii="宋体" w:hAnsi="宋体" w:cs="宋体"/>
          <w:b/>
          <w:sz w:val="44"/>
          <w:szCs w:val="32"/>
        </w:rPr>
        <w:t>钢结构工程专业分包</w:t>
      </w: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宋体"/>
          <w:b/>
          <w:kern w:val="0"/>
          <w:sz w:val="56"/>
          <w:szCs w:val="84"/>
        </w:rPr>
      </w:pPr>
      <w:r>
        <w:rPr>
          <w:rFonts w:hint="eastAsia" w:ascii="宋体" w:hAnsi="宋体" w:cs="宋体"/>
          <w:b/>
          <w:kern w:val="0"/>
          <w:sz w:val="56"/>
          <w:szCs w:val="84"/>
        </w:rPr>
        <w:t>投标文件</w:t>
      </w:r>
    </w:p>
    <w:p>
      <w:pPr>
        <w:autoSpaceDE w:val="0"/>
        <w:autoSpaceDN w:val="0"/>
        <w:adjustRightInd w:val="0"/>
        <w:snapToGrid w:val="0"/>
        <w:spacing w:line="360" w:lineRule="auto"/>
        <w:jc w:val="left"/>
        <w:rPr>
          <w:rFonts w:ascii="宋体" w:hAnsi="宋体" w:cs="宋体"/>
          <w:kern w:val="0"/>
          <w:sz w:val="16"/>
          <w:szCs w:val="16"/>
        </w:rPr>
      </w:pPr>
    </w:p>
    <w:p>
      <w:pPr>
        <w:autoSpaceDE w:val="0"/>
        <w:autoSpaceDN w:val="0"/>
        <w:adjustRightInd w:val="0"/>
        <w:snapToGrid w:val="0"/>
        <w:spacing w:line="360" w:lineRule="auto"/>
        <w:jc w:val="center"/>
        <w:rPr>
          <w:rFonts w:ascii="宋体" w:hAnsi="宋体" w:cs="宋体"/>
          <w:b/>
          <w:kern w:val="0"/>
          <w:sz w:val="20"/>
          <w:szCs w:val="20"/>
        </w:rPr>
      </w:pPr>
      <w:r>
        <w:rPr>
          <w:rFonts w:hint="eastAsia" w:ascii="宋体" w:hAnsi="宋体" w:cs="宋体"/>
          <w:b/>
          <w:kern w:val="0"/>
          <w:sz w:val="36"/>
          <w:szCs w:val="36"/>
        </w:rPr>
        <w:t>资格审查资料</w:t>
      </w: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autoSpaceDE w:val="0"/>
        <w:autoSpaceDN w:val="0"/>
        <w:adjustRightInd w:val="0"/>
        <w:snapToGrid w:val="0"/>
        <w:spacing w:line="360" w:lineRule="auto"/>
        <w:jc w:val="left"/>
        <w:rPr>
          <w:rFonts w:ascii="宋体" w:hAnsi="宋体" w:cs="宋体"/>
          <w:b/>
          <w:kern w:val="0"/>
          <w:sz w:val="20"/>
          <w:szCs w:val="20"/>
        </w:rPr>
      </w:pP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投标人</w:t>
      </w:r>
      <w:r>
        <w:rPr>
          <w:rFonts w:hint="eastAsia" w:ascii="宋体" w:hAnsi="宋体" w:cs="宋体"/>
          <w:b/>
          <w:spacing w:val="1"/>
          <w:kern w:val="0"/>
          <w:sz w:val="28"/>
          <w:szCs w:val="28"/>
        </w:rPr>
        <w:t>：</w:t>
      </w:r>
      <w:r>
        <w:rPr>
          <w:rFonts w:hint="eastAsia" w:ascii="宋体" w:hAnsi="宋体" w:cs="宋体"/>
          <w:b/>
          <w:kern w:val="0"/>
          <w:sz w:val="28"/>
          <w:szCs w:val="28"/>
          <w:u w:val="single"/>
        </w:rPr>
        <w:t>　　　　 　　</w:t>
      </w:r>
      <w:r>
        <w:rPr>
          <w:rFonts w:hint="eastAsia" w:ascii="宋体" w:hAnsi="宋体" w:cs="宋体"/>
          <w:b/>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法定代表人或其委托代理人：</w:t>
      </w:r>
      <w:r>
        <w:rPr>
          <w:rFonts w:hint="eastAsia" w:ascii="宋体" w:hAnsi="宋体" w:cs="宋体"/>
          <w:b/>
          <w:kern w:val="0"/>
          <w:sz w:val="28"/>
          <w:szCs w:val="28"/>
          <w:u w:val="single"/>
        </w:rPr>
        <w:t>　　 　</w:t>
      </w:r>
      <w:r>
        <w:rPr>
          <w:rFonts w:hint="eastAsia" w:ascii="宋体" w:hAnsi="宋体" w:cs="宋体"/>
          <w:b/>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u w:val="single"/>
        </w:rPr>
        <w:t xml:space="preserve">     　</w:t>
      </w:r>
      <w:r>
        <w:rPr>
          <w:rFonts w:hint="eastAsia" w:ascii="宋体" w:hAnsi="宋体" w:cs="宋体"/>
          <w:b/>
          <w:kern w:val="0"/>
          <w:sz w:val="28"/>
          <w:szCs w:val="28"/>
        </w:rPr>
        <w:t>年月日</w:t>
      </w:r>
    </w:p>
    <w:p>
      <w:pPr>
        <w:rPr>
          <w:rFonts w:ascii="宋体" w:hAnsi="宋体" w:cs="宋体"/>
          <w:snapToGrid w:val="0"/>
        </w:rPr>
        <w:sectPr>
          <w:pgSz w:w="11906" w:h="16838"/>
          <w:pgMar w:top="1418" w:right="1361" w:bottom="1418" w:left="1418" w:header="851" w:footer="992" w:gutter="0"/>
          <w:cols w:space="720" w:num="1"/>
          <w:docGrid w:linePitch="312" w:charSpace="0"/>
        </w:sectPr>
      </w:pPr>
      <w:r>
        <w:rPr>
          <w:rFonts w:hint="eastAsia" w:ascii="宋体" w:hAnsi="宋体" w:cs="宋体"/>
          <w:kern w:val="0"/>
          <w:sz w:val="24"/>
          <w:szCs w:val="21"/>
        </w:rPr>
        <w:br w:type="page"/>
      </w:r>
    </w:p>
    <w:p>
      <w:pPr>
        <w:jc w:val="center"/>
        <w:rPr>
          <w:rFonts w:ascii="宋体" w:hAnsi="宋体" w:cs="宋体"/>
          <w:kern w:val="0"/>
          <w:sz w:val="24"/>
          <w:szCs w:val="21"/>
        </w:rPr>
      </w:pPr>
    </w:p>
    <w:p>
      <w:pPr>
        <w:jc w:val="center"/>
        <w:rPr>
          <w:rFonts w:ascii="宋体" w:hAnsi="宋体" w:cs="宋体"/>
          <w:b/>
          <w:kern w:val="0"/>
          <w:sz w:val="32"/>
          <w:szCs w:val="32"/>
        </w:rPr>
      </w:pPr>
      <w:r>
        <w:rPr>
          <w:rFonts w:hint="eastAsia" w:ascii="宋体" w:hAnsi="宋体" w:cs="宋体"/>
          <w:b/>
          <w:kern w:val="0"/>
          <w:sz w:val="32"/>
          <w:szCs w:val="32"/>
        </w:rPr>
        <w:t>目    录</w:t>
      </w:r>
    </w:p>
    <w:p>
      <w:pPr>
        <w:jc w:val="center"/>
        <w:rPr>
          <w:rFonts w:ascii="宋体" w:hAnsi="宋体" w:cs="宋体"/>
          <w:b/>
          <w:kern w:val="0"/>
          <w:sz w:val="32"/>
          <w:szCs w:val="32"/>
        </w:rPr>
      </w:pPr>
    </w:p>
    <w:p>
      <w:pPr>
        <w:spacing w:line="360" w:lineRule="auto"/>
        <w:ind w:firstLine="1113" w:firstLineChars="464"/>
        <w:rPr>
          <w:rFonts w:ascii="宋体" w:hAnsi="宋体" w:cs="宋体"/>
          <w:sz w:val="24"/>
        </w:rPr>
      </w:pPr>
      <w:r>
        <w:rPr>
          <w:rFonts w:hint="eastAsia" w:ascii="宋体" w:hAnsi="宋体" w:cs="宋体"/>
          <w:sz w:val="24"/>
        </w:rPr>
        <w:t>（一）法定代表人身份证明及授权委托书</w:t>
      </w:r>
    </w:p>
    <w:p>
      <w:pPr>
        <w:spacing w:line="360" w:lineRule="auto"/>
        <w:ind w:firstLine="1113" w:firstLineChars="464"/>
        <w:rPr>
          <w:rFonts w:ascii="宋体" w:hAnsi="宋体" w:cs="宋体"/>
          <w:sz w:val="24"/>
        </w:rPr>
      </w:pPr>
      <w:r>
        <w:rPr>
          <w:rFonts w:hint="eastAsia" w:ascii="宋体" w:hAnsi="宋体" w:cs="宋体"/>
          <w:sz w:val="24"/>
        </w:rPr>
        <w:t>（二）投标人基本情况表</w:t>
      </w:r>
    </w:p>
    <w:p>
      <w:pPr>
        <w:spacing w:line="360" w:lineRule="auto"/>
        <w:ind w:firstLine="1113" w:firstLineChars="464"/>
        <w:rPr>
          <w:rFonts w:ascii="宋体" w:hAnsi="宋体" w:cs="宋体"/>
          <w:sz w:val="24"/>
        </w:rPr>
      </w:pPr>
      <w:r>
        <w:rPr>
          <w:rFonts w:hint="eastAsia" w:ascii="宋体" w:hAnsi="宋体" w:cs="宋体"/>
          <w:sz w:val="24"/>
        </w:rPr>
        <w:t>（三）项目管理机构表和主要人员简历表</w:t>
      </w:r>
    </w:p>
    <w:p>
      <w:pPr>
        <w:spacing w:line="360" w:lineRule="auto"/>
        <w:ind w:firstLine="1080" w:firstLineChars="450"/>
        <w:rPr>
          <w:rFonts w:ascii="宋体" w:hAnsi="宋体" w:cs="宋体"/>
          <w:sz w:val="24"/>
        </w:rPr>
      </w:pPr>
      <w:r>
        <w:rPr>
          <w:rFonts w:hint="eastAsia" w:ascii="宋体" w:hAnsi="宋体" w:cs="宋体"/>
          <w:sz w:val="24"/>
        </w:rPr>
        <w:t>（四）近年完成的类似项目情况表（附有效业绩证明文件复印件）</w:t>
      </w:r>
    </w:p>
    <w:p>
      <w:pPr>
        <w:spacing w:line="360" w:lineRule="auto"/>
        <w:ind w:firstLine="1080" w:firstLineChars="450"/>
        <w:rPr>
          <w:rFonts w:ascii="宋体" w:hAnsi="宋体" w:cs="宋体"/>
        </w:rPr>
      </w:pPr>
      <w:r>
        <w:rPr>
          <w:rFonts w:hint="eastAsia" w:ascii="宋体" w:hAnsi="宋体" w:cs="宋体"/>
          <w:sz w:val="24"/>
        </w:rPr>
        <w:t>（五）项目负责人业绩情况表及附件（附有效业绩证明文件复印件）</w:t>
      </w:r>
    </w:p>
    <w:p>
      <w:pPr>
        <w:spacing w:line="360" w:lineRule="auto"/>
        <w:ind w:firstLine="1080" w:firstLineChars="450"/>
        <w:rPr>
          <w:rFonts w:ascii="宋体" w:hAnsi="宋体" w:cs="宋体"/>
          <w:sz w:val="24"/>
        </w:rPr>
      </w:pPr>
      <w:r>
        <w:rPr>
          <w:rFonts w:hint="eastAsia" w:ascii="宋体" w:hAnsi="宋体" w:cs="宋体"/>
          <w:sz w:val="24"/>
        </w:rPr>
        <w:t>（六）其他资料</w:t>
      </w:r>
    </w:p>
    <w:p>
      <w:pPr>
        <w:spacing w:line="360" w:lineRule="auto"/>
        <w:ind w:firstLine="993" w:firstLineChars="414"/>
        <w:rPr>
          <w:rFonts w:ascii="宋体" w:hAnsi="宋体" w:cs="宋体"/>
          <w:sz w:val="24"/>
        </w:rPr>
      </w:pPr>
    </w:p>
    <w:p>
      <w:pPr>
        <w:jc w:val="center"/>
        <w:rPr>
          <w:rFonts w:ascii="宋体" w:hAnsi="宋体" w:cs="宋体"/>
          <w:b/>
          <w:kern w:val="0"/>
          <w:sz w:val="32"/>
          <w:szCs w:val="32"/>
        </w:rPr>
      </w:pPr>
    </w:p>
    <w:p>
      <w:pPr>
        <w:rPr>
          <w:rFonts w:ascii="宋体" w:hAnsi="宋体" w:cs="宋体"/>
          <w:snapToGrid w:val="0"/>
        </w:rPr>
        <w:sectPr>
          <w:pgSz w:w="11906" w:h="16838"/>
          <w:pgMar w:top="1418" w:right="1361" w:bottom="1418" w:left="1418" w:header="851" w:footer="992" w:gutter="0"/>
          <w:cols w:space="720" w:num="1"/>
          <w:docGrid w:linePitch="312" w:charSpace="0"/>
        </w:sectPr>
      </w:pPr>
    </w:p>
    <w:p>
      <w:pPr>
        <w:rPr>
          <w:rFonts w:ascii="宋体" w:hAnsi="宋体" w:cs="宋体"/>
          <w:snapToGrid w:val="0"/>
        </w:rPr>
      </w:pPr>
    </w:p>
    <w:p>
      <w:pPr>
        <w:pStyle w:val="4"/>
        <w:jc w:val="center"/>
        <w:rPr>
          <w:rFonts w:ascii="宋体" w:hAnsi="宋体" w:cs="宋体"/>
        </w:rPr>
      </w:pPr>
      <w:bookmarkStart w:id="747" w:name="_Toc287607869"/>
      <w:bookmarkStart w:id="748" w:name="_Toc224103497"/>
      <w:bookmarkStart w:id="749" w:name="_Toc287620816"/>
      <w:bookmarkStart w:id="750" w:name="_Toc277082645"/>
      <w:r>
        <w:rPr>
          <w:rFonts w:hint="eastAsia" w:ascii="宋体" w:hAnsi="宋体" w:cs="宋体"/>
          <w:sz w:val="28"/>
        </w:rPr>
        <w:t>（一）法定代表人身份证明及授权委托书</w:t>
      </w:r>
      <w:bookmarkEnd w:id="747"/>
      <w:bookmarkEnd w:id="748"/>
      <w:bookmarkEnd w:id="749"/>
      <w:bookmarkEnd w:id="750"/>
    </w:p>
    <w:p>
      <w:pPr>
        <w:jc w:val="center"/>
        <w:rPr>
          <w:rFonts w:ascii="宋体" w:hAnsi="宋体" w:cs="宋体"/>
          <w:b/>
          <w:sz w:val="28"/>
        </w:rPr>
      </w:pPr>
    </w:p>
    <w:p>
      <w:pPr>
        <w:jc w:val="center"/>
        <w:rPr>
          <w:rFonts w:ascii="宋体" w:hAnsi="宋体" w:cs="宋体"/>
          <w:b/>
        </w:rPr>
      </w:pPr>
      <w:r>
        <w:rPr>
          <w:rFonts w:hint="eastAsia" w:ascii="宋体" w:hAnsi="宋体" w:cs="宋体"/>
          <w:b/>
          <w:sz w:val="28"/>
        </w:rPr>
        <w:t>法定代表人身份证明</w:t>
      </w:r>
    </w:p>
    <w:p>
      <w:pPr>
        <w:ind w:left="765"/>
        <w:rPr>
          <w:rFonts w:ascii="宋体" w:hAnsi="宋体" w:cs="宋体"/>
        </w:rPr>
      </w:pPr>
    </w:p>
    <w:p>
      <w:pPr>
        <w:ind w:left="765"/>
        <w:rPr>
          <w:rFonts w:ascii="宋体" w:hAnsi="宋体" w:cs="宋体"/>
        </w:rPr>
      </w:pPr>
    </w:p>
    <w:p>
      <w:pPr>
        <w:ind w:left="765"/>
        <w:rPr>
          <w:rFonts w:ascii="宋体" w:hAnsi="宋体" w:cs="宋体"/>
        </w:rPr>
      </w:pPr>
    </w:p>
    <w:p>
      <w:pPr>
        <w:tabs>
          <w:tab w:val="left" w:pos="5565"/>
        </w:tabs>
        <w:autoSpaceDE w:val="0"/>
        <w:autoSpaceDN w:val="0"/>
        <w:adjustRightInd w:val="0"/>
        <w:snapToGrid w:val="0"/>
        <w:spacing w:line="360" w:lineRule="auto"/>
        <w:ind w:firstLine="390" w:firstLineChars="186"/>
        <w:jc w:val="left"/>
        <w:rPr>
          <w:rFonts w:ascii="宋体" w:hAnsi="宋体" w:cs="宋体"/>
          <w:kern w:val="0"/>
          <w:szCs w:val="21"/>
        </w:rPr>
      </w:pPr>
      <w:r>
        <w:rPr>
          <w:rFonts w:hint="eastAsia" w:ascii="宋体" w:hAnsi="宋体" w:cs="宋体"/>
          <w:kern w:val="0"/>
          <w:szCs w:val="21"/>
        </w:rPr>
        <w:t>投标人名称：</w:t>
      </w:r>
      <w:r>
        <w:rPr>
          <w:rFonts w:hint="eastAsia" w:ascii="宋体" w:hAnsi="宋体" w:cs="宋体"/>
          <w:kern w:val="0"/>
          <w:szCs w:val="21"/>
          <w:u w:val="single"/>
        </w:rPr>
        <w:tab/>
      </w:r>
    </w:p>
    <w:p>
      <w:pPr>
        <w:autoSpaceDE w:val="0"/>
        <w:autoSpaceDN w:val="0"/>
        <w:adjustRightInd w:val="0"/>
        <w:snapToGrid w:val="0"/>
        <w:spacing w:line="360" w:lineRule="auto"/>
        <w:ind w:firstLine="372" w:firstLineChars="186"/>
        <w:jc w:val="left"/>
        <w:rPr>
          <w:rFonts w:ascii="宋体" w:hAnsi="宋体" w:cs="宋体"/>
          <w:kern w:val="0"/>
          <w:sz w:val="20"/>
          <w:szCs w:val="20"/>
        </w:rPr>
      </w:pPr>
    </w:p>
    <w:p>
      <w:pPr>
        <w:tabs>
          <w:tab w:val="left" w:pos="5475"/>
        </w:tabs>
        <w:autoSpaceDE w:val="0"/>
        <w:autoSpaceDN w:val="0"/>
        <w:adjustRightInd w:val="0"/>
        <w:snapToGrid w:val="0"/>
        <w:spacing w:line="360" w:lineRule="auto"/>
        <w:ind w:firstLine="390" w:firstLineChars="186"/>
        <w:jc w:val="left"/>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ab/>
      </w:r>
    </w:p>
    <w:p>
      <w:pPr>
        <w:autoSpaceDE w:val="0"/>
        <w:autoSpaceDN w:val="0"/>
        <w:adjustRightInd w:val="0"/>
        <w:snapToGrid w:val="0"/>
        <w:spacing w:line="360" w:lineRule="auto"/>
        <w:ind w:firstLine="372" w:firstLineChars="186"/>
        <w:jc w:val="left"/>
        <w:rPr>
          <w:rFonts w:ascii="宋体" w:hAnsi="宋体" w:cs="宋体"/>
          <w:kern w:val="0"/>
          <w:sz w:val="20"/>
          <w:szCs w:val="20"/>
        </w:rPr>
      </w:pPr>
    </w:p>
    <w:p>
      <w:pPr>
        <w:tabs>
          <w:tab w:val="left" w:pos="5475"/>
        </w:tabs>
        <w:autoSpaceDE w:val="0"/>
        <w:autoSpaceDN w:val="0"/>
        <w:adjustRightInd w:val="0"/>
        <w:snapToGrid w:val="0"/>
        <w:spacing w:line="360" w:lineRule="auto"/>
        <w:ind w:firstLine="390" w:firstLineChars="186"/>
        <w:jc w:val="left"/>
        <w:rPr>
          <w:rFonts w:ascii="宋体" w:hAnsi="宋体" w:cs="宋体"/>
          <w:kern w:val="0"/>
          <w:szCs w:val="21"/>
        </w:rPr>
      </w:pPr>
      <w:r>
        <w:rPr>
          <w:rFonts w:hint="eastAsia" w:ascii="宋体" w:hAnsi="宋体" w:cs="宋体"/>
          <w:kern w:val="0"/>
          <w:szCs w:val="21"/>
        </w:rPr>
        <w:t>地址：</w:t>
      </w:r>
      <w:r>
        <w:rPr>
          <w:rFonts w:hint="eastAsia" w:ascii="宋体" w:hAnsi="宋体" w:cs="宋体"/>
          <w:kern w:val="0"/>
          <w:szCs w:val="21"/>
          <w:u w:val="single"/>
        </w:rPr>
        <w:tab/>
      </w:r>
    </w:p>
    <w:p>
      <w:pPr>
        <w:autoSpaceDE w:val="0"/>
        <w:autoSpaceDN w:val="0"/>
        <w:adjustRightInd w:val="0"/>
        <w:snapToGrid w:val="0"/>
        <w:spacing w:line="360" w:lineRule="auto"/>
        <w:ind w:firstLine="372" w:firstLineChars="186"/>
        <w:jc w:val="left"/>
        <w:rPr>
          <w:rFonts w:ascii="宋体" w:hAnsi="宋体" w:cs="宋体"/>
          <w:kern w:val="0"/>
          <w:sz w:val="20"/>
          <w:szCs w:val="20"/>
        </w:rPr>
      </w:pPr>
    </w:p>
    <w:p>
      <w:pPr>
        <w:tabs>
          <w:tab w:val="left" w:pos="2520"/>
          <w:tab w:val="left" w:pos="3836"/>
        </w:tabs>
        <w:autoSpaceDE w:val="0"/>
        <w:autoSpaceDN w:val="0"/>
        <w:adjustRightInd w:val="0"/>
        <w:snapToGrid w:val="0"/>
        <w:spacing w:line="360" w:lineRule="auto"/>
        <w:ind w:firstLine="390" w:firstLineChars="186"/>
        <w:jc w:val="left"/>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ab/>
      </w:r>
      <w:r>
        <w:rPr>
          <w:rFonts w:hint="eastAsia" w:ascii="宋体" w:hAnsi="宋体" w:cs="宋体"/>
          <w:spacing w:val="-1"/>
          <w:kern w:val="0"/>
          <w:szCs w:val="21"/>
        </w:rPr>
        <w:t>年</w:t>
      </w:r>
      <w:r>
        <w:rPr>
          <w:rFonts w:hint="eastAsia" w:ascii="宋体" w:hAnsi="宋体" w:cs="宋体"/>
          <w:kern w:val="0"/>
          <w:szCs w:val="21"/>
          <w:u w:val="single"/>
        </w:rPr>
        <w:tab/>
      </w:r>
      <w:r>
        <w:rPr>
          <w:rFonts w:hint="eastAsia" w:ascii="宋体" w:hAnsi="宋体" w:cs="宋体"/>
          <w:spacing w:val="-1"/>
          <w:kern w:val="0"/>
          <w:szCs w:val="21"/>
        </w:rPr>
        <w:t>月</w:t>
      </w:r>
      <w:r>
        <w:rPr>
          <w:rFonts w:hint="eastAsia" w:ascii="宋体" w:hAnsi="宋体" w:cs="宋体"/>
          <w:kern w:val="0"/>
          <w:szCs w:val="21"/>
        </w:rPr>
        <w:t>日</w:t>
      </w:r>
    </w:p>
    <w:p>
      <w:pPr>
        <w:autoSpaceDE w:val="0"/>
        <w:autoSpaceDN w:val="0"/>
        <w:adjustRightInd w:val="0"/>
        <w:snapToGrid w:val="0"/>
        <w:spacing w:line="360" w:lineRule="auto"/>
        <w:ind w:firstLine="186" w:firstLineChars="186"/>
        <w:jc w:val="left"/>
        <w:rPr>
          <w:rFonts w:ascii="宋体" w:hAnsi="宋体" w:cs="宋体"/>
          <w:kern w:val="0"/>
          <w:sz w:val="10"/>
          <w:szCs w:val="10"/>
        </w:rPr>
      </w:pPr>
    </w:p>
    <w:p>
      <w:pPr>
        <w:tabs>
          <w:tab w:val="left" w:pos="5475"/>
        </w:tabs>
        <w:autoSpaceDE w:val="0"/>
        <w:autoSpaceDN w:val="0"/>
        <w:adjustRightInd w:val="0"/>
        <w:snapToGrid w:val="0"/>
        <w:spacing w:line="360" w:lineRule="auto"/>
        <w:ind w:firstLine="390" w:firstLineChars="186"/>
        <w:jc w:val="left"/>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ab/>
      </w:r>
    </w:p>
    <w:p>
      <w:pPr>
        <w:autoSpaceDE w:val="0"/>
        <w:autoSpaceDN w:val="0"/>
        <w:adjustRightInd w:val="0"/>
        <w:snapToGrid w:val="0"/>
        <w:spacing w:line="360" w:lineRule="auto"/>
        <w:ind w:firstLine="372" w:firstLineChars="186"/>
        <w:jc w:val="left"/>
        <w:rPr>
          <w:rFonts w:ascii="宋体" w:hAnsi="宋体" w:cs="宋体"/>
          <w:kern w:val="0"/>
          <w:sz w:val="20"/>
          <w:szCs w:val="20"/>
        </w:rPr>
      </w:pPr>
    </w:p>
    <w:p>
      <w:pPr>
        <w:tabs>
          <w:tab w:val="left" w:pos="1580"/>
          <w:tab w:val="left" w:pos="3260"/>
          <w:tab w:val="left" w:pos="4840"/>
          <w:tab w:val="left" w:pos="6300"/>
        </w:tabs>
        <w:autoSpaceDE w:val="0"/>
        <w:autoSpaceDN w:val="0"/>
        <w:adjustRightInd w:val="0"/>
        <w:snapToGrid w:val="0"/>
        <w:spacing w:line="360" w:lineRule="auto"/>
        <w:ind w:firstLine="390" w:firstLineChars="186"/>
        <w:jc w:val="left"/>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ab/>
      </w:r>
      <w:r>
        <w:rPr>
          <w:rFonts w:hint="eastAsia" w:ascii="宋体" w:hAnsi="宋体" w:cs="宋体"/>
          <w:kern w:val="0"/>
          <w:szCs w:val="21"/>
        </w:rPr>
        <w:t>性别</w:t>
      </w:r>
      <w:r>
        <w:rPr>
          <w:rFonts w:hint="eastAsia" w:ascii="宋体" w:hAnsi="宋体" w:cs="宋体"/>
          <w:spacing w:val="-1"/>
          <w:kern w:val="0"/>
          <w:szCs w:val="21"/>
        </w:rPr>
        <w:t>：</w:t>
      </w:r>
      <w:r>
        <w:rPr>
          <w:rFonts w:hint="eastAsia" w:ascii="宋体" w:hAnsi="宋体" w:cs="宋体"/>
          <w:kern w:val="0"/>
          <w:szCs w:val="21"/>
          <w:u w:val="single"/>
        </w:rPr>
        <w:tab/>
      </w:r>
      <w:r>
        <w:rPr>
          <w:rFonts w:hint="eastAsia" w:ascii="宋体" w:hAnsi="宋体" w:cs="宋体"/>
          <w:spacing w:val="-1"/>
          <w:kern w:val="0"/>
          <w:szCs w:val="21"/>
        </w:rPr>
        <w:t>年</w:t>
      </w:r>
      <w:r>
        <w:rPr>
          <w:rFonts w:hint="eastAsia" w:ascii="宋体" w:hAnsi="宋体" w:cs="宋体"/>
          <w:kern w:val="0"/>
          <w:szCs w:val="21"/>
        </w:rPr>
        <w:t>龄：</w:t>
      </w:r>
      <w:r>
        <w:rPr>
          <w:rFonts w:hint="eastAsia" w:ascii="宋体" w:hAnsi="宋体" w:cs="宋体"/>
          <w:kern w:val="0"/>
          <w:szCs w:val="21"/>
          <w:u w:val="single"/>
        </w:rPr>
        <w:tab/>
      </w:r>
      <w:r>
        <w:rPr>
          <w:rFonts w:hint="eastAsia" w:ascii="宋体" w:hAnsi="宋体" w:cs="宋体"/>
          <w:kern w:val="0"/>
          <w:szCs w:val="21"/>
        </w:rPr>
        <w:t>职务：</w:t>
      </w:r>
      <w:r>
        <w:rPr>
          <w:rFonts w:hint="eastAsia" w:ascii="宋体" w:hAnsi="宋体" w:cs="宋体"/>
          <w:kern w:val="0"/>
          <w:szCs w:val="21"/>
          <w:u w:val="single"/>
        </w:rPr>
        <w:tab/>
      </w:r>
    </w:p>
    <w:p>
      <w:pPr>
        <w:autoSpaceDE w:val="0"/>
        <w:autoSpaceDN w:val="0"/>
        <w:adjustRightInd w:val="0"/>
        <w:snapToGrid w:val="0"/>
        <w:spacing w:line="360" w:lineRule="auto"/>
        <w:ind w:firstLine="372" w:firstLineChars="186"/>
        <w:jc w:val="left"/>
        <w:rPr>
          <w:rFonts w:ascii="宋体" w:hAnsi="宋体" w:cs="宋体"/>
          <w:kern w:val="0"/>
          <w:sz w:val="20"/>
          <w:szCs w:val="20"/>
        </w:rPr>
      </w:pPr>
    </w:p>
    <w:p>
      <w:pPr>
        <w:tabs>
          <w:tab w:val="left" w:pos="3360"/>
        </w:tabs>
        <w:autoSpaceDE w:val="0"/>
        <w:autoSpaceDN w:val="0"/>
        <w:adjustRightInd w:val="0"/>
        <w:snapToGrid w:val="0"/>
        <w:spacing w:line="360" w:lineRule="auto"/>
        <w:ind w:firstLine="390" w:firstLineChars="186"/>
        <w:jc w:val="left"/>
        <w:rPr>
          <w:rFonts w:ascii="宋体" w:hAnsi="宋体" w:cs="宋体"/>
          <w:kern w:val="0"/>
          <w:szCs w:val="21"/>
        </w:rPr>
      </w:pPr>
      <w:r>
        <w:rPr>
          <w:rFonts w:hint="eastAsia" w:ascii="宋体" w:hAnsi="宋体" w:cs="宋体"/>
          <w:kern w:val="0"/>
          <w:szCs w:val="21"/>
        </w:rPr>
        <w:t>系</w:t>
      </w:r>
      <w:r>
        <w:rPr>
          <w:rFonts w:hint="eastAsia" w:ascii="宋体" w:hAnsi="宋体" w:cs="宋体"/>
          <w:kern w:val="0"/>
          <w:szCs w:val="21"/>
          <w:u w:val="single"/>
        </w:rPr>
        <w:tab/>
      </w:r>
      <w:r>
        <w:rPr>
          <w:rFonts w:hint="eastAsia" w:ascii="宋体" w:hAnsi="宋体" w:cs="宋体"/>
          <w:kern w:val="0"/>
          <w:szCs w:val="21"/>
        </w:rPr>
        <w:t>（投标人名称）的法定代表人。</w:t>
      </w:r>
    </w:p>
    <w:p>
      <w:pPr>
        <w:autoSpaceDE w:val="0"/>
        <w:autoSpaceDN w:val="0"/>
        <w:adjustRightInd w:val="0"/>
        <w:snapToGrid w:val="0"/>
        <w:spacing w:line="360" w:lineRule="auto"/>
        <w:ind w:firstLine="186" w:firstLineChars="186"/>
        <w:jc w:val="left"/>
        <w:rPr>
          <w:rFonts w:ascii="宋体" w:hAnsi="宋体" w:cs="宋体"/>
          <w:kern w:val="0"/>
          <w:sz w:val="10"/>
          <w:szCs w:val="10"/>
        </w:rPr>
      </w:pPr>
    </w:p>
    <w:p>
      <w:pPr>
        <w:autoSpaceDE w:val="0"/>
        <w:autoSpaceDN w:val="0"/>
        <w:adjustRightInd w:val="0"/>
        <w:snapToGrid w:val="0"/>
        <w:spacing w:line="360" w:lineRule="auto"/>
        <w:ind w:firstLine="810" w:firstLineChars="386"/>
        <w:jc w:val="left"/>
        <w:rPr>
          <w:rFonts w:ascii="宋体" w:hAnsi="宋体" w:cs="宋体"/>
          <w:kern w:val="0"/>
          <w:szCs w:val="21"/>
        </w:rPr>
      </w:pPr>
      <w:r>
        <w:rPr>
          <w:rFonts w:hint="eastAsia" w:ascii="宋体" w:hAnsi="宋体" w:cs="宋体"/>
          <w:kern w:val="0"/>
          <w:szCs w:val="21"/>
        </w:rPr>
        <w:t>特此证明。</w:t>
      </w:r>
    </w:p>
    <w:p>
      <w:pPr>
        <w:autoSpaceDE w:val="0"/>
        <w:autoSpaceDN w:val="0"/>
        <w:adjustRightInd w:val="0"/>
        <w:snapToGrid w:val="0"/>
        <w:spacing w:line="360" w:lineRule="auto"/>
        <w:jc w:val="left"/>
        <w:rPr>
          <w:rFonts w:ascii="宋体" w:hAnsi="宋体" w:cs="宋体"/>
          <w:kern w:val="0"/>
          <w:sz w:val="18"/>
          <w:szCs w:val="18"/>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tabs>
          <w:tab w:val="left" w:pos="5460"/>
        </w:tabs>
        <w:autoSpaceDE w:val="0"/>
        <w:autoSpaceDN w:val="0"/>
        <w:adjustRightInd w:val="0"/>
        <w:snapToGrid w:val="0"/>
        <w:spacing w:line="360" w:lineRule="auto"/>
        <w:ind w:firstLine="2100"/>
        <w:jc w:val="left"/>
        <w:rPr>
          <w:rFonts w:ascii="宋体" w:hAnsi="宋体" w:cs="宋体"/>
          <w:kern w:val="0"/>
          <w:szCs w:val="21"/>
        </w:rPr>
      </w:pPr>
      <w:r>
        <w:rPr>
          <w:rFonts w:hint="eastAsia" w:ascii="宋体" w:hAnsi="宋体" w:cs="宋体"/>
          <w:kern w:val="0"/>
          <w:szCs w:val="21"/>
        </w:rPr>
        <w:t>投标</w:t>
      </w:r>
      <w:r>
        <w:rPr>
          <w:rFonts w:hint="eastAsia" w:ascii="宋体" w:hAnsi="宋体" w:cs="宋体"/>
          <w:spacing w:val="-1"/>
          <w:kern w:val="0"/>
          <w:szCs w:val="21"/>
        </w:rPr>
        <w:t>人</w:t>
      </w:r>
      <w:r>
        <w:rPr>
          <w:rFonts w:hint="eastAsia" w:ascii="宋体" w:hAnsi="宋体" w:cs="宋体"/>
          <w:kern w:val="0"/>
          <w:szCs w:val="21"/>
        </w:rPr>
        <w:t>：</w:t>
      </w:r>
      <w:r>
        <w:rPr>
          <w:rFonts w:hint="eastAsia" w:ascii="宋体" w:hAnsi="宋体" w:cs="宋体"/>
          <w:kern w:val="0"/>
          <w:szCs w:val="21"/>
          <w:u w:val="single"/>
        </w:rPr>
        <w:tab/>
      </w:r>
      <w:r>
        <w:rPr>
          <w:rFonts w:hint="eastAsia" w:ascii="宋体" w:hAnsi="宋体" w:cs="宋体"/>
          <w:spacing w:val="-1"/>
          <w:kern w:val="0"/>
          <w:szCs w:val="21"/>
        </w:rPr>
        <w:t>（</w:t>
      </w:r>
      <w:r>
        <w:rPr>
          <w:rFonts w:hint="eastAsia" w:ascii="宋体" w:hAnsi="宋体" w:cs="宋体"/>
          <w:kern w:val="0"/>
          <w:szCs w:val="21"/>
        </w:rPr>
        <w:t>盖单位章）</w:t>
      </w:r>
    </w:p>
    <w:p>
      <w:pPr>
        <w:autoSpaceDE w:val="0"/>
        <w:autoSpaceDN w:val="0"/>
        <w:adjustRightInd w:val="0"/>
        <w:snapToGrid w:val="0"/>
        <w:spacing w:line="360" w:lineRule="auto"/>
        <w:jc w:val="left"/>
        <w:rPr>
          <w:rFonts w:ascii="宋体" w:hAnsi="宋体" w:cs="宋体"/>
          <w:kern w:val="0"/>
          <w:sz w:val="20"/>
          <w:szCs w:val="20"/>
        </w:rPr>
      </w:pPr>
    </w:p>
    <w:p>
      <w:pPr>
        <w:tabs>
          <w:tab w:val="left" w:pos="4935"/>
          <w:tab w:val="left" w:pos="5460"/>
          <w:tab w:val="left" w:pos="6400"/>
        </w:tabs>
        <w:autoSpaceDE w:val="0"/>
        <w:autoSpaceDN w:val="0"/>
        <w:adjustRightInd w:val="0"/>
        <w:snapToGrid w:val="0"/>
        <w:spacing w:line="360" w:lineRule="auto"/>
        <w:ind w:firstLine="3780"/>
        <w:jc w:val="left"/>
        <w:rPr>
          <w:rFonts w:ascii="宋体" w:hAnsi="宋体" w:cs="宋体"/>
          <w:kern w:val="0"/>
          <w:szCs w:val="21"/>
        </w:rPr>
      </w:pPr>
      <w:r>
        <w:rPr>
          <w:rFonts w:hint="eastAsia" w:ascii="宋体" w:hAnsi="宋体" w:cs="宋体"/>
          <w:kern w:val="0"/>
          <w:szCs w:val="21"/>
          <w:u w:val="single"/>
        </w:rPr>
        <w:tab/>
      </w:r>
      <w:r>
        <w:rPr>
          <w:rFonts w:hint="eastAsia" w:ascii="宋体" w:hAnsi="宋体" w:cs="宋体"/>
          <w:spacing w:val="-1"/>
          <w:kern w:val="0"/>
          <w:szCs w:val="21"/>
        </w:rPr>
        <w:t>年</w:t>
      </w:r>
      <w:r>
        <w:rPr>
          <w:rFonts w:hint="eastAsia" w:ascii="宋体" w:hAnsi="宋体" w:cs="宋体"/>
          <w:kern w:val="0"/>
          <w:szCs w:val="21"/>
        </w:rPr>
        <w:t>月日</w:t>
      </w:r>
    </w:p>
    <w:p>
      <w:pPr>
        <w:autoSpaceDE w:val="0"/>
        <w:autoSpaceDN w:val="0"/>
        <w:adjustRightInd w:val="0"/>
        <w:snapToGrid w:val="0"/>
        <w:spacing w:line="360" w:lineRule="auto"/>
        <w:jc w:val="left"/>
        <w:rPr>
          <w:rFonts w:ascii="宋体" w:hAnsi="宋体" w:cs="宋体"/>
          <w:kern w:val="0"/>
        </w:rPr>
      </w:pPr>
    </w:p>
    <w:p>
      <w:pPr>
        <w:autoSpaceDE w:val="0"/>
        <w:autoSpaceDN w:val="0"/>
        <w:adjustRightInd w:val="0"/>
        <w:snapToGrid w:val="0"/>
        <w:spacing w:line="360" w:lineRule="auto"/>
        <w:jc w:val="left"/>
        <w:rPr>
          <w:rFonts w:ascii="宋体" w:hAnsi="宋体" w:cs="宋体"/>
          <w:kern w:val="0"/>
        </w:rPr>
      </w:pPr>
    </w:p>
    <w:p>
      <w:pPr>
        <w:autoSpaceDE w:val="0"/>
        <w:autoSpaceDN w:val="0"/>
        <w:adjustRightInd w:val="0"/>
        <w:snapToGrid w:val="0"/>
        <w:spacing w:line="360" w:lineRule="auto"/>
        <w:jc w:val="left"/>
        <w:rPr>
          <w:rFonts w:ascii="宋体" w:hAnsi="宋体" w:cs="宋体"/>
          <w:kern w:val="0"/>
        </w:rPr>
      </w:pPr>
    </w:p>
    <w:p>
      <w:pPr>
        <w:autoSpaceDE w:val="0"/>
        <w:autoSpaceDN w:val="0"/>
        <w:adjustRightInd w:val="0"/>
        <w:snapToGrid w:val="0"/>
        <w:spacing w:line="360" w:lineRule="auto"/>
        <w:jc w:val="left"/>
        <w:rPr>
          <w:rFonts w:ascii="宋体" w:hAnsi="宋体" w:cs="宋体"/>
          <w:kern w:val="0"/>
        </w:rPr>
      </w:pPr>
    </w:p>
    <w:p>
      <w:pPr>
        <w:autoSpaceDE w:val="0"/>
        <w:autoSpaceDN w:val="0"/>
        <w:adjustRightInd w:val="0"/>
        <w:snapToGrid w:val="0"/>
        <w:spacing w:line="360" w:lineRule="auto"/>
        <w:jc w:val="left"/>
        <w:rPr>
          <w:rFonts w:ascii="宋体" w:hAnsi="宋体" w:cs="宋体"/>
          <w:kern w:val="0"/>
        </w:rPr>
      </w:pPr>
    </w:p>
    <w:p>
      <w:pPr>
        <w:tabs>
          <w:tab w:val="left" w:pos="3600"/>
          <w:tab w:val="left" w:pos="4480"/>
          <w:tab w:val="left" w:pos="5360"/>
        </w:tabs>
        <w:autoSpaceDE w:val="0"/>
        <w:autoSpaceDN w:val="0"/>
        <w:adjustRightInd w:val="0"/>
        <w:snapToGrid w:val="0"/>
        <w:spacing w:line="360" w:lineRule="auto"/>
        <w:jc w:val="center"/>
        <w:rPr>
          <w:rFonts w:ascii="宋体" w:hAnsi="宋体" w:cs="宋体"/>
          <w:kern w:val="0"/>
        </w:rPr>
      </w:pPr>
    </w:p>
    <w:p>
      <w:pPr>
        <w:tabs>
          <w:tab w:val="left" w:pos="3600"/>
          <w:tab w:val="left" w:pos="4480"/>
          <w:tab w:val="left" w:pos="5360"/>
        </w:tabs>
        <w:autoSpaceDE w:val="0"/>
        <w:autoSpaceDN w:val="0"/>
        <w:adjustRightInd w:val="0"/>
        <w:snapToGrid w:val="0"/>
        <w:spacing w:line="360" w:lineRule="auto"/>
        <w:jc w:val="center"/>
        <w:rPr>
          <w:rFonts w:ascii="宋体" w:hAnsi="宋体" w:cs="宋体"/>
          <w:kern w:val="0"/>
        </w:rPr>
      </w:pPr>
    </w:p>
    <w:p>
      <w:pPr>
        <w:tabs>
          <w:tab w:val="left" w:pos="1680"/>
          <w:tab w:val="left" w:pos="4215"/>
          <w:tab w:val="left" w:pos="4305"/>
          <w:tab w:val="left" w:pos="800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授权委托书</w:t>
      </w:r>
    </w:p>
    <w:p>
      <w:pPr>
        <w:autoSpaceDE w:val="0"/>
        <w:autoSpaceDN w:val="0"/>
        <w:adjustRightInd w:val="0"/>
        <w:snapToGrid w:val="0"/>
        <w:spacing w:line="360" w:lineRule="auto"/>
        <w:jc w:val="left"/>
        <w:rPr>
          <w:rFonts w:ascii="宋体" w:hAnsi="宋体" w:cs="宋体"/>
          <w:kern w:val="0"/>
          <w:sz w:val="12"/>
          <w:szCs w:val="12"/>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ab/>
      </w:r>
      <w:r>
        <w:rPr>
          <w:rFonts w:hint="eastAsia" w:ascii="宋体" w:hAnsi="宋体" w:cs="宋体"/>
          <w:kern w:val="0"/>
          <w:szCs w:val="21"/>
        </w:rPr>
        <w:t>（姓名）系</w:t>
      </w:r>
      <w:r>
        <w:rPr>
          <w:rFonts w:hint="eastAsia" w:ascii="宋体" w:hAnsi="宋体" w:cs="宋体"/>
          <w:kern w:val="0"/>
          <w:szCs w:val="21"/>
          <w:u w:val="single"/>
        </w:rPr>
        <w:tab/>
      </w:r>
      <w:r>
        <w:rPr>
          <w:rFonts w:hint="eastAsia" w:ascii="宋体" w:hAnsi="宋体" w:cs="宋体"/>
          <w:kern w:val="0"/>
          <w:szCs w:val="21"/>
        </w:rPr>
        <w:t>（</w:t>
      </w:r>
      <w:r>
        <w:rPr>
          <w:rFonts w:hint="eastAsia" w:ascii="宋体" w:hAnsi="宋体" w:cs="宋体"/>
          <w:spacing w:val="-1"/>
          <w:kern w:val="0"/>
          <w:szCs w:val="21"/>
        </w:rPr>
        <w:t>投</w:t>
      </w:r>
      <w:r>
        <w:rPr>
          <w:rFonts w:hint="eastAsia" w:ascii="宋体" w:hAnsi="宋体" w:cs="宋体"/>
          <w:kern w:val="0"/>
          <w:szCs w:val="21"/>
        </w:rPr>
        <w:t>标人名称</w:t>
      </w:r>
      <w:r>
        <w:rPr>
          <w:rFonts w:hint="eastAsia" w:ascii="宋体" w:hAnsi="宋体" w:cs="宋体"/>
          <w:spacing w:val="1"/>
          <w:kern w:val="0"/>
          <w:szCs w:val="21"/>
        </w:rPr>
        <w:t>）</w:t>
      </w:r>
      <w:r>
        <w:rPr>
          <w:rFonts w:hint="eastAsia" w:ascii="宋体" w:hAnsi="宋体" w:cs="宋体"/>
          <w:kern w:val="0"/>
          <w:szCs w:val="21"/>
        </w:rPr>
        <w:t>的法定代</w:t>
      </w:r>
      <w:r>
        <w:rPr>
          <w:rFonts w:hint="eastAsia" w:ascii="宋体" w:hAnsi="宋体" w:cs="宋体"/>
          <w:spacing w:val="1"/>
          <w:kern w:val="0"/>
          <w:szCs w:val="21"/>
        </w:rPr>
        <w:t>表</w:t>
      </w:r>
      <w:r>
        <w:rPr>
          <w:rFonts w:hint="eastAsia" w:ascii="宋体" w:hAnsi="宋体" w:cs="宋体"/>
          <w:kern w:val="0"/>
          <w:szCs w:val="21"/>
        </w:rPr>
        <w:t>人，现委托</w:t>
      </w:r>
      <w:r>
        <w:rPr>
          <w:rFonts w:hint="eastAsia" w:ascii="宋体" w:hAnsi="宋体" w:cs="宋体"/>
          <w:kern w:val="0"/>
          <w:szCs w:val="21"/>
          <w:u w:val="single"/>
        </w:rPr>
        <w:tab/>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西彭组团D63、D64地块厂房项目钢结构工程专业分包</w:t>
      </w:r>
      <w:r>
        <w:rPr>
          <w:rFonts w:hint="eastAsia" w:ascii="宋体" w:hAnsi="宋体" w:cs="宋体"/>
          <w:kern w:val="0"/>
          <w:szCs w:val="21"/>
        </w:rPr>
        <w:t>投标文件、商务（合同）谈判、签定合同和处理有关事宜，其法律后果由我方承担。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Cs w:val="21"/>
        </w:rPr>
      </w:pPr>
      <w:r>
        <w:rPr>
          <w:rFonts w:hint="eastAsia" w:ascii="宋体" w:hAnsi="宋体" w:cs="宋体"/>
          <w:kern w:val="0"/>
          <w:szCs w:val="21"/>
        </w:rPr>
        <w:t>委托</w:t>
      </w:r>
      <w:r>
        <w:rPr>
          <w:rFonts w:hint="eastAsia" w:ascii="宋体" w:hAnsi="宋体" w:cs="宋体"/>
          <w:spacing w:val="-1"/>
          <w:kern w:val="0"/>
          <w:szCs w:val="21"/>
        </w:rPr>
        <w:t>期</w:t>
      </w:r>
      <w:r>
        <w:rPr>
          <w:rFonts w:hint="eastAsia" w:ascii="宋体" w:hAnsi="宋体" w:cs="宋体"/>
          <w:kern w:val="0"/>
          <w:szCs w:val="21"/>
        </w:rPr>
        <w:t>限：</w:t>
      </w:r>
      <w:r>
        <w:rPr>
          <w:rFonts w:hint="eastAsia" w:ascii="宋体" w:hAnsi="宋体" w:cs="宋体"/>
          <w:kern w:val="0"/>
          <w:szCs w:val="21"/>
          <w:u w:val="single"/>
        </w:rPr>
        <w:t xml:space="preserve">天     </w:t>
      </w:r>
      <w:r>
        <w:rPr>
          <w:rFonts w:hint="eastAsia" w:ascii="宋体" w:hAnsi="宋体" w:cs="宋体"/>
          <w:kern w:val="0"/>
          <w:szCs w:val="21"/>
        </w:rPr>
        <w:t>。</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Cs w:val="21"/>
        </w:rPr>
      </w:pPr>
      <w:r>
        <w:rPr>
          <w:rFonts w:hint="eastAsia" w:ascii="宋体" w:hAnsi="宋体" w:cs="宋体"/>
          <w:kern w:val="0"/>
          <w:szCs w:val="21"/>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kern w:val="0"/>
          <w:szCs w:val="21"/>
        </w:rPr>
      </w:pPr>
      <w:r>
        <w:rPr>
          <w:rFonts w:hint="eastAsia" w:ascii="宋体" w:hAnsi="宋体" w:cs="宋体"/>
          <w:kern w:val="0"/>
          <w:szCs w:val="21"/>
        </w:rPr>
        <w:t>附：法定代表人及委托代理人身份证复印件。</w:t>
      </w:r>
    </w:p>
    <w:p>
      <w:pPr>
        <w:autoSpaceDE w:val="0"/>
        <w:autoSpaceDN w:val="0"/>
        <w:adjustRightInd w:val="0"/>
        <w:snapToGrid w:val="0"/>
        <w:spacing w:line="360" w:lineRule="auto"/>
        <w:jc w:val="left"/>
        <w:rPr>
          <w:rFonts w:ascii="宋体" w:hAnsi="宋体" w:cs="宋体"/>
          <w:kern w:val="0"/>
          <w:sz w:val="12"/>
          <w:szCs w:val="12"/>
        </w:rPr>
      </w:pPr>
    </w:p>
    <w:p>
      <w:pPr>
        <w:autoSpaceDE w:val="0"/>
        <w:autoSpaceDN w:val="0"/>
        <w:adjustRightInd w:val="0"/>
        <w:snapToGrid w:val="0"/>
        <w:spacing w:line="360" w:lineRule="auto"/>
        <w:jc w:val="left"/>
        <w:rPr>
          <w:rFonts w:ascii="宋体" w:hAnsi="宋体" w:cs="宋体"/>
          <w:kern w:val="0"/>
          <w:sz w:val="20"/>
          <w:szCs w:val="20"/>
        </w:rPr>
      </w:pPr>
    </w:p>
    <w:p>
      <w:pPr>
        <w:tabs>
          <w:tab w:val="left" w:pos="4200"/>
          <w:tab w:val="left" w:pos="4620"/>
        </w:tabs>
        <w:autoSpaceDE w:val="0"/>
        <w:autoSpaceDN w:val="0"/>
        <w:adjustRightInd w:val="0"/>
        <w:snapToGrid w:val="0"/>
        <w:spacing w:line="360" w:lineRule="auto"/>
        <w:ind w:firstLine="1694"/>
        <w:jc w:val="left"/>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ab/>
      </w:r>
      <w:r>
        <w:rPr>
          <w:rFonts w:hint="eastAsia" w:ascii="宋体" w:hAnsi="宋体" w:cs="宋体"/>
          <w:kern w:val="0"/>
          <w:szCs w:val="21"/>
        </w:rPr>
        <w:t>（</w:t>
      </w:r>
      <w:r>
        <w:rPr>
          <w:rFonts w:hint="eastAsia" w:ascii="宋体" w:hAnsi="宋体" w:cs="宋体"/>
          <w:spacing w:val="-1"/>
          <w:kern w:val="0"/>
          <w:szCs w:val="21"/>
        </w:rPr>
        <w:t>盖</w:t>
      </w:r>
      <w:r>
        <w:rPr>
          <w:rFonts w:hint="eastAsia" w:ascii="宋体" w:hAnsi="宋体" w:cs="宋体"/>
          <w:kern w:val="0"/>
          <w:szCs w:val="21"/>
        </w:rPr>
        <w:t>单位章）</w:t>
      </w:r>
    </w:p>
    <w:p>
      <w:pPr>
        <w:tabs>
          <w:tab w:val="left" w:pos="6300"/>
        </w:tabs>
        <w:autoSpaceDE w:val="0"/>
        <w:autoSpaceDN w:val="0"/>
        <w:adjustRightInd w:val="0"/>
        <w:snapToGrid w:val="0"/>
        <w:spacing w:line="360" w:lineRule="auto"/>
        <w:ind w:firstLine="1680"/>
        <w:jc w:val="left"/>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ab/>
      </w:r>
      <w:r>
        <w:rPr>
          <w:rFonts w:hint="eastAsia" w:ascii="宋体" w:hAnsi="宋体" w:cs="宋体"/>
          <w:kern w:val="0"/>
          <w:szCs w:val="21"/>
          <w:u w:val="single"/>
        </w:rPr>
        <w:tab/>
      </w:r>
      <w:r>
        <w:rPr>
          <w:rFonts w:hint="eastAsia" w:ascii="宋体" w:hAnsi="宋体" w:cs="宋体"/>
          <w:kern w:val="0"/>
          <w:szCs w:val="21"/>
        </w:rPr>
        <w:t>（签字）</w:t>
      </w:r>
    </w:p>
    <w:p>
      <w:pPr>
        <w:tabs>
          <w:tab w:val="left" w:pos="6765"/>
        </w:tabs>
        <w:autoSpaceDE w:val="0"/>
        <w:autoSpaceDN w:val="0"/>
        <w:adjustRightInd w:val="0"/>
        <w:snapToGrid w:val="0"/>
        <w:spacing w:line="360" w:lineRule="auto"/>
        <w:ind w:firstLine="1680"/>
        <w:jc w:val="left"/>
        <w:rPr>
          <w:rFonts w:ascii="宋体" w:hAnsi="宋体" w:cs="宋体"/>
          <w:kern w:val="0"/>
          <w:szCs w:val="21"/>
        </w:rPr>
      </w:pPr>
      <w:r>
        <w:rPr>
          <w:rFonts w:hint="eastAsia" w:ascii="宋体" w:hAnsi="宋体" w:cs="宋体"/>
          <w:kern w:val="0"/>
          <w:szCs w:val="21"/>
        </w:rPr>
        <w:t>身份证号码：</w:t>
      </w:r>
      <w:r>
        <w:rPr>
          <w:rFonts w:hint="eastAsia" w:ascii="宋体" w:hAnsi="宋体" w:cs="宋体"/>
          <w:kern w:val="0"/>
          <w:szCs w:val="21"/>
          <w:u w:val="single"/>
        </w:rPr>
        <w:tab/>
      </w:r>
    </w:p>
    <w:p>
      <w:pPr>
        <w:tabs>
          <w:tab w:val="left" w:pos="6720"/>
        </w:tabs>
        <w:autoSpaceDE w:val="0"/>
        <w:autoSpaceDN w:val="0"/>
        <w:adjustRightInd w:val="0"/>
        <w:snapToGrid w:val="0"/>
        <w:spacing w:line="360" w:lineRule="auto"/>
        <w:ind w:firstLine="1680"/>
        <w:jc w:val="left"/>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ab/>
      </w:r>
      <w:r>
        <w:rPr>
          <w:rFonts w:hint="eastAsia" w:ascii="宋体" w:hAnsi="宋体" w:cs="宋体"/>
          <w:kern w:val="0"/>
          <w:szCs w:val="21"/>
        </w:rPr>
        <w:t>（签</w:t>
      </w:r>
      <w:r>
        <w:rPr>
          <w:rFonts w:hint="eastAsia" w:ascii="宋体" w:hAnsi="宋体" w:cs="宋体"/>
          <w:spacing w:val="-1"/>
          <w:kern w:val="0"/>
          <w:szCs w:val="21"/>
        </w:rPr>
        <w:t>字</w:t>
      </w:r>
      <w:r>
        <w:rPr>
          <w:rFonts w:hint="eastAsia" w:ascii="宋体" w:hAnsi="宋体" w:cs="宋体"/>
          <w:kern w:val="0"/>
          <w:szCs w:val="21"/>
        </w:rPr>
        <w:t>）</w:t>
      </w:r>
    </w:p>
    <w:p>
      <w:pPr>
        <w:tabs>
          <w:tab w:val="left" w:pos="6825"/>
        </w:tabs>
        <w:autoSpaceDE w:val="0"/>
        <w:autoSpaceDN w:val="0"/>
        <w:adjustRightInd w:val="0"/>
        <w:snapToGrid w:val="0"/>
        <w:spacing w:line="360" w:lineRule="auto"/>
        <w:ind w:firstLine="1680"/>
        <w:jc w:val="left"/>
        <w:rPr>
          <w:rFonts w:ascii="宋体" w:hAnsi="宋体" w:cs="宋体"/>
          <w:kern w:val="0"/>
          <w:szCs w:val="21"/>
        </w:rPr>
      </w:pPr>
      <w:r>
        <w:rPr>
          <w:rFonts w:hint="eastAsia" w:ascii="宋体" w:hAnsi="宋体" w:cs="宋体"/>
          <w:kern w:val="0"/>
          <w:szCs w:val="21"/>
        </w:rPr>
        <w:t>身份证号码：</w:t>
      </w:r>
      <w:r>
        <w:rPr>
          <w:rFonts w:hint="eastAsia" w:ascii="宋体" w:hAnsi="宋体" w:cs="宋体"/>
          <w:kern w:val="0"/>
          <w:szCs w:val="21"/>
          <w:u w:val="single"/>
        </w:rPr>
        <w:tab/>
      </w: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8"/>
          <w:szCs w:val="28"/>
        </w:rPr>
      </w:pPr>
    </w:p>
    <w:p>
      <w:pPr>
        <w:tabs>
          <w:tab w:val="left" w:pos="4005"/>
          <w:tab w:val="left" w:pos="4100"/>
          <w:tab w:val="left" w:pos="5040"/>
        </w:tabs>
        <w:autoSpaceDE w:val="0"/>
        <w:autoSpaceDN w:val="0"/>
        <w:adjustRightInd w:val="0"/>
        <w:snapToGrid w:val="0"/>
        <w:spacing w:line="360" w:lineRule="auto"/>
        <w:ind w:firstLine="3780"/>
        <w:jc w:val="left"/>
        <w:rPr>
          <w:rFonts w:ascii="宋体" w:hAnsi="宋体" w:cs="宋体"/>
          <w:kern w:val="0"/>
          <w:szCs w:val="21"/>
        </w:rPr>
      </w:pPr>
      <w:r>
        <w:rPr>
          <w:rFonts w:hint="eastAsia" w:ascii="宋体" w:hAnsi="宋体" w:cs="宋体"/>
          <w:kern w:val="0"/>
          <w:szCs w:val="21"/>
          <w:u w:val="single"/>
        </w:rPr>
        <w:tab/>
      </w:r>
      <w:r>
        <w:rPr>
          <w:rFonts w:hint="eastAsia" w:ascii="宋体" w:hAnsi="宋体" w:cs="宋体"/>
          <w:kern w:val="0"/>
          <w:szCs w:val="21"/>
        </w:rPr>
        <w:t>年</w:t>
      </w:r>
      <w:r>
        <w:rPr>
          <w:rFonts w:hint="eastAsia" w:ascii="宋体" w:hAnsi="宋体" w:cs="宋体"/>
          <w:kern w:val="0"/>
          <w:szCs w:val="21"/>
          <w:u w:val="single"/>
        </w:rPr>
        <w:tab/>
      </w:r>
      <w:r>
        <w:rPr>
          <w:rFonts w:hint="eastAsia" w:ascii="宋体" w:hAnsi="宋体" w:cs="宋体"/>
          <w:kern w:val="0"/>
          <w:szCs w:val="21"/>
        </w:rPr>
        <w:t>月</w:t>
      </w:r>
      <w:r>
        <w:rPr>
          <w:rFonts w:hint="eastAsia" w:ascii="宋体" w:hAnsi="宋体" w:cs="宋体"/>
          <w:kern w:val="0"/>
          <w:szCs w:val="21"/>
          <w:u w:val="single"/>
        </w:rPr>
        <w:tab/>
      </w:r>
      <w:r>
        <w:rPr>
          <w:rFonts w:hint="eastAsia" w:ascii="宋体" w:hAnsi="宋体" w:cs="宋体"/>
          <w:kern w:val="0"/>
          <w:szCs w:val="21"/>
        </w:rPr>
        <w:t>日</w:t>
      </w:r>
    </w:p>
    <w:p>
      <w:pPr>
        <w:autoSpaceDE w:val="0"/>
        <w:autoSpaceDN w:val="0"/>
        <w:adjustRightInd w:val="0"/>
        <w:snapToGrid w:val="0"/>
        <w:spacing w:line="360" w:lineRule="auto"/>
        <w:jc w:val="left"/>
        <w:rPr>
          <w:rFonts w:ascii="宋体" w:hAnsi="宋体" w:cs="宋体"/>
          <w:kern w:val="0"/>
        </w:rPr>
      </w:pPr>
    </w:p>
    <w:p>
      <w:pPr>
        <w:autoSpaceDE w:val="0"/>
        <w:autoSpaceDN w:val="0"/>
        <w:adjustRightInd w:val="0"/>
        <w:snapToGrid w:val="0"/>
        <w:spacing w:line="360" w:lineRule="auto"/>
        <w:jc w:val="left"/>
        <w:rPr>
          <w:rFonts w:ascii="宋体" w:hAnsi="宋体" w:cs="宋体"/>
          <w:kern w:val="0"/>
        </w:rPr>
      </w:pPr>
    </w:p>
    <w:p>
      <w:pPr>
        <w:autoSpaceDE w:val="0"/>
        <w:autoSpaceDN w:val="0"/>
        <w:adjustRightInd w:val="0"/>
        <w:snapToGrid w:val="0"/>
        <w:spacing w:line="360" w:lineRule="auto"/>
        <w:jc w:val="left"/>
        <w:rPr>
          <w:rFonts w:ascii="宋体" w:hAnsi="宋体" w:cs="宋体"/>
          <w:kern w:val="0"/>
        </w:rPr>
      </w:pPr>
    </w:p>
    <w:p>
      <w:pPr>
        <w:tabs>
          <w:tab w:val="left" w:pos="2980"/>
          <w:tab w:val="left" w:pos="5940"/>
        </w:tabs>
        <w:autoSpaceDE w:val="0"/>
        <w:autoSpaceDN w:val="0"/>
        <w:adjustRightInd w:val="0"/>
        <w:snapToGrid w:val="0"/>
        <w:spacing w:line="360" w:lineRule="auto"/>
        <w:rPr>
          <w:rFonts w:ascii="宋体" w:hAnsi="宋体" w:cs="宋体"/>
          <w:kern w:val="0"/>
          <w:szCs w:val="21"/>
        </w:rPr>
      </w:pPr>
    </w:p>
    <w:p>
      <w:pPr>
        <w:tabs>
          <w:tab w:val="left" w:pos="2980"/>
          <w:tab w:val="left" w:pos="5940"/>
        </w:tabs>
        <w:autoSpaceDE w:val="0"/>
        <w:autoSpaceDN w:val="0"/>
        <w:adjustRightInd w:val="0"/>
        <w:snapToGrid w:val="0"/>
        <w:spacing w:line="360" w:lineRule="auto"/>
        <w:rPr>
          <w:rFonts w:ascii="宋体" w:hAnsi="宋体" w:cs="宋体"/>
          <w:kern w:val="0"/>
          <w:szCs w:val="21"/>
        </w:rPr>
      </w:pPr>
    </w:p>
    <w:p>
      <w:pPr>
        <w:tabs>
          <w:tab w:val="left" w:pos="2980"/>
          <w:tab w:val="left" w:pos="5940"/>
        </w:tabs>
        <w:autoSpaceDE w:val="0"/>
        <w:autoSpaceDN w:val="0"/>
        <w:adjustRightInd w:val="0"/>
        <w:snapToGrid w:val="0"/>
        <w:spacing w:line="360" w:lineRule="auto"/>
        <w:rPr>
          <w:rFonts w:ascii="宋体" w:hAnsi="宋体" w:cs="宋体"/>
          <w:kern w:val="0"/>
          <w:szCs w:val="21"/>
        </w:rPr>
      </w:pPr>
    </w:p>
    <w:p>
      <w:pPr>
        <w:tabs>
          <w:tab w:val="left" w:pos="2980"/>
          <w:tab w:val="left" w:pos="5940"/>
        </w:tabs>
        <w:autoSpaceDE w:val="0"/>
        <w:autoSpaceDN w:val="0"/>
        <w:adjustRightInd w:val="0"/>
        <w:snapToGrid w:val="0"/>
        <w:spacing w:line="360" w:lineRule="auto"/>
        <w:rPr>
          <w:rFonts w:ascii="宋体" w:hAnsi="宋体" w:cs="宋体"/>
          <w:kern w:val="0"/>
          <w:szCs w:val="21"/>
        </w:rPr>
      </w:pPr>
    </w:p>
    <w:p>
      <w:pPr>
        <w:tabs>
          <w:tab w:val="left" w:pos="2980"/>
          <w:tab w:val="left" w:pos="5940"/>
        </w:tabs>
        <w:autoSpaceDE w:val="0"/>
        <w:autoSpaceDN w:val="0"/>
        <w:adjustRightInd w:val="0"/>
        <w:snapToGrid w:val="0"/>
        <w:spacing w:line="360" w:lineRule="auto"/>
        <w:rPr>
          <w:rFonts w:ascii="宋体" w:hAnsi="宋体" w:cs="宋体"/>
          <w:kern w:val="0"/>
          <w:szCs w:val="21"/>
        </w:rPr>
      </w:pPr>
    </w:p>
    <w:p>
      <w:pPr>
        <w:tabs>
          <w:tab w:val="left" w:pos="2980"/>
          <w:tab w:val="left" w:pos="5940"/>
        </w:tabs>
        <w:autoSpaceDE w:val="0"/>
        <w:autoSpaceDN w:val="0"/>
        <w:adjustRightInd w:val="0"/>
        <w:snapToGrid w:val="0"/>
        <w:spacing w:line="360" w:lineRule="auto"/>
        <w:rPr>
          <w:rFonts w:ascii="宋体" w:hAnsi="宋体" w:cs="宋体"/>
          <w:kern w:val="0"/>
          <w:szCs w:val="21"/>
        </w:rPr>
      </w:pPr>
    </w:p>
    <w:p>
      <w:pPr>
        <w:tabs>
          <w:tab w:val="left" w:pos="2980"/>
          <w:tab w:val="left" w:pos="5940"/>
        </w:tabs>
        <w:autoSpaceDE w:val="0"/>
        <w:autoSpaceDN w:val="0"/>
        <w:adjustRightInd w:val="0"/>
        <w:snapToGrid w:val="0"/>
        <w:spacing w:line="360" w:lineRule="auto"/>
        <w:rPr>
          <w:rFonts w:ascii="宋体" w:hAnsi="宋体" w:cs="宋体"/>
          <w:kern w:val="0"/>
          <w:szCs w:val="21"/>
        </w:rPr>
      </w:pPr>
    </w:p>
    <w:p>
      <w:pPr>
        <w:adjustRightInd w:val="0"/>
        <w:snapToGrid w:val="0"/>
        <w:spacing w:line="264" w:lineRule="auto"/>
        <w:rPr>
          <w:rFonts w:ascii="宋体" w:hAnsi="宋体" w:cs="宋体"/>
          <w:sz w:val="32"/>
          <w:szCs w:val="32"/>
        </w:rPr>
      </w:pPr>
    </w:p>
    <w:p>
      <w:pPr>
        <w:rPr>
          <w:rFonts w:ascii="宋体" w:hAnsi="宋体" w:cs="宋体"/>
          <w:sz w:val="32"/>
          <w:szCs w:val="32"/>
        </w:rPr>
      </w:pPr>
    </w:p>
    <w:p>
      <w:pPr>
        <w:tabs>
          <w:tab w:val="left" w:pos="4840"/>
        </w:tabs>
        <w:autoSpaceDE w:val="0"/>
        <w:autoSpaceDN w:val="0"/>
        <w:adjustRightInd w:val="0"/>
        <w:snapToGrid w:val="0"/>
        <w:spacing w:line="360" w:lineRule="auto"/>
        <w:ind w:left="2809" w:leftChars="200" w:hanging="2389" w:hangingChars="850"/>
        <w:jc w:val="center"/>
        <w:rPr>
          <w:rFonts w:ascii="宋体" w:hAnsi="宋体" w:cs="宋体"/>
          <w:kern w:val="0"/>
        </w:rPr>
      </w:pPr>
      <w:bookmarkStart w:id="751" w:name="_Toc224103513"/>
      <w:bookmarkStart w:id="752" w:name="_Toc287620832"/>
      <w:bookmarkStart w:id="753" w:name="_Toc287607885"/>
      <w:r>
        <w:rPr>
          <w:rFonts w:hint="eastAsia" w:ascii="宋体" w:hAnsi="宋体" w:cs="宋体"/>
          <w:b/>
          <w:bCs/>
          <w:sz w:val="28"/>
          <w:szCs w:val="32"/>
        </w:rPr>
        <w:t>（二）投标人基本情况表</w:t>
      </w:r>
      <w:bookmarkEnd w:id="751"/>
      <w:bookmarkEnd w:id="752"/>
      <w:bookmarkEnd w:id="753"/>
    </w:p>
    <w:p>
      <w:pPr>
        <w:ind w:firstLine="420" w:firstLineChars="200"/>
        <w:rPr>
          <w:rFonts w:ascii="宋体" w:hAnsi="宋体" w:cs="宋体"/>
          <w:kern w:val="0"/>
        </w:rPr>
      </w:pPr>
    </w:p>
    <w:tbl>
      <w:tblPr>
        <w:tblStyle w:val="60"/>
        <w:tblpPr w:leftFromText="180" w:rightFromText="180" w:vertAnchor="page" w:horzAnchor="margin" w:tblpY="2206"/>
        <w:tblW w:w="8442" w:type="dxa"/>
        <w:tblInd w:w="0" w:type="dxa"/>
        <w:tblLayout w:type="fixed"/>
        <w:tblCellMar>
          <w:top w:w="0" w:type="dxa"/>
          <w:left w:w="0" w:type="dxa"/>
          <w:bottom w:w="0" w:type="dxa"/>
          <w:right w:w="0" w:type="dxa"/>
        </w:tblCellMar>
      </w:tblPr>
      <w:tblGrid>
        <w:gridCol w:w="1702"/>
        <w:gridCol w:w="885"/>
        <w:gridCol w:w="937"/>
        <w:gridCol w:w="828"/>
        <w:gridCol w:w="413"/>
        <w:gridCol w:w="95"/>
        <w:gridCol w:w="1274"/>
        <w:gridCol w:w="484"/>
        <w:gridCol w:w="846"/>
        <w:gridCol w:w="978"/>
      </w:tblGrid>
      <w:tr>
        <w:tblPrEx>
          <w:tblLayout w:type="fixed"/>
          <w:tblCellMar>
            <w:top w:w="0" w:type="dxa"/>
            <w:left w:w="0" w:type="dxa"/>
            <w:bottom w:w="0" w:type="dxa"/>
            <w:right w:w="0" w:type="dxa"/>
          </w:tblCellMar>
        </w:tblPrEx>
        <w:trPr>
          <w:trHeight w:val="781"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投标人名称</w:t>
            </w:r>
          </w:p>
        </w:tc>
        <w:tc>
          <w:tcPr>
            <w:tcW w:w="6740" w:type="dxa"/>
            <w:gridSpan w:val="9"/>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trHeight w:val="764"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注册地址</w:t>
            </w:r>
          </w:p>
        </w:tc>
        <w:tc>
          <w:tcPr>
            <w:tcW w:w="3158" w:type="dxa"/>
            <w:gridSpan w:val="5"/>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127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邮政编码</w:t>
            </w:r>
          </w:p>
        </w:tc>
        <w:tc>
          <w:tcPr>
            <w:tcW w:w="2308"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cantSplit/>
          <w:trHeight w:val="619" w:hRule="exact"/>
        </w:trPr>
        <w:tc>
          <w:tcPr>
            <w:tcW w:w="1702"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联系方式</w:t>
            </w:r>
          </w:p>
        </w:tc>
        <w:tc>
          <w:tcPr>
            <w:tcW w:w="88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联系人</w:t>
            </w:r>
          </w:p>
        </w:tc>
        <w:tc>
          <w:tcPr>
            <w:tcW w:w="2273" w:type="dxa"/>
            <w:gridSpan w:val="4"/>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127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电话</w:t>
            </w:r>
          </w:p>
        </w:tc>
        <w:tc>
          <w:tcPr>
            <w:tcW w:w="2308"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cantSplit/>
          <w:trHeight w:val="612" w:hRule="exact"/>
        </w:trPr>
        <w:tc>
          <w:tcPr>
            <w:tcW w:w="1702"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885" w:type="dxa"/>
            <w:tcBorders>
              <w:top w:val="single" w:color="000000" w:sz="4" w:space="0"/>
              <w:left w:val="single" w:color="000000" w:sz="4" w:space="0"/>
              <w:bottom w:val="single" w:color="000000" w:sz="4" w:space="0"/>
              <w:right w:val="single" w:color="000000" w:sz="4" w:space="0"/>
            </w:tcBorders>
            <w:vAlign w:val="center"/>
          </w:tcPr>
          <w:p>
            <w:pPr>
              <w:tabs>
                <w:tab w:val="left" w:pos="540"/>
              </w:tabs>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传</w:t>
            </w:r>
            <w:r>
              <w:rPr>
                <w:rFonts w:hint="eastAsia" w:ascii="宋体" w:hAnsi="宋体" w:cs="宋体"/>
                <w:kern w:val="0"/>
                <w:szCs w:val="21"/>
              </w:rPr>
              <w:tab/>
            </w:r>
            <w:r>
              <w:rPr>
                <w:rFonts w:hint="eastAsia" w:ascii="宋体" w:hAnsi="宋体" w:cs="宋体"/>
                <w:kern w:val="0"/>
                <w:szCs w:val="21"/>
              </w:rPr>
              <w:t>真</w:t>
            </w:r>
          </w:p>
        </w:tc>
        <w:tc>
          <w:tcPr>
            <w:tcW w:w="2273" w:type="dxa"/>
            <w:gridSpan w:val="4"/>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127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网址</w:t>
            </w:r>
          </w:p>
        </w:tc>
        <w:tc>
          <w:tcPr>
            <w:tcW w:w="2308"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trHeight w:val="467"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组织结构</w:t>
            </w:r>
          </w:p>
        </w:tc>
        <w:tc>
          <w:tcPr>
            <w:tcW w:w="6740" w:type="dxa"/>
            <w:gridSpan w:val="9"/>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trHeight w:val="627"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法定代表人</w:t>
            </w:r>
          </w:p>
        </w:tc>
        <w:tc>
          <w:tcPr>
            <w:tcW w:w="88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姓名</w:t>
            </w:r>
          </w:p>
        </w:tc>
        <w:tc>
          <w:tcPr>
            <w:tcW w:w="937"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1241"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技术职称</w:t>
            </w:r>
          </w:p>
        </w:tc>
        <w:tc>
          <w:tcPr>
            <w:tcW w:w="1853"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84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电话</w:t>
            </w:r>
          </w:p>
        </w:tc>
        <w:tc>
          <w:tcPr>
            <w:tcW w:w="978"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trHeight w:val="775"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技术负责人</w:t>
            </w:r>
          </w:p>
        </w:tc>
        <w:tc>
          <w:tcPr>
            <w:tcW w:w="885"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姓名</w:t>
            </w:r>
          </w:p>
        </w:tc>
        <w:tc>
          <w:tcPr>
            <w:tcW w:w="937"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1241"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技术职称</w:t>
            </w:r>
          </w:p>
        </w:tc>
        <w:tc>
          <w:tcPr>
            <w:tcW w:w="1853" w:type="dxa"/>
            <w:gridSpan w:val="3"/>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84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电话</w:t>
            </w:r>
          </w:p>
        </w:tc>
        <w:tc>
          <w:tcPr>
            <w:tcW w:w="978"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trHeight w:val="602"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成立时间</w:t>
            </w:r>
          </w:p>
        </w:tc>
        <w:tc>
          <w:tcPr>
            <w:tcW w:w="1822"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4918" w:type="dxa"/>
            <w:gridSpan w:val="7"/>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员工总人数：</w:t>
            </w:r>
          </w:p>
        </w:tc>
      </w:tr>
      <w:tr>
        <w:tblPrEx>
          <w:tblLayout w:type="fixed"/>
          <w:tblCellMar>
            <w:top w:w="0" w:type="dxa"/>
            <w:left w:w="0" w:type="dxa"/>
            <w:bottom w:w="0" w:type="dxa"/>
            <w:right w:w="0" w:type="dxa"/>
          </w:tblCellMar>
        </w:tblPrEx>
        <w:trPr>
          <w:cantSplit/>
          <w:trHeight w:val="765"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企业资质等级</w:t>
            </w:r>
          </w:p>
        </w:tc>
        <w:tc>
          <w:tcPr>
            <w:tcW w:w="1822"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828" w:type="dxa"/>
            <w:vMerge w:val="restart"/>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其中</w:t>
            </w:r>
          </w:p>
        </w:tc>
        <w:tc>
          <w:tcPr>
            <w:tcW w:w="2266"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项目经理</w:t>
            </w:r>
          </w:p>
        </w:tc>
        <w:tc>
          <w:tcPr>
            <w:tcW w:w="1824"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cantSplit/>
          <w:trHeight w:val="761"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营业执照号</w:t>
            </w:r>
          </w:p>
        </w:tc>
        <w:tc>
          <w:tcPr>
            <w:tcW w:w="1822"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828"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2266"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高级职称人员</w:t>
            </w:r>
          </w:p>
        </w:tc>
        <w:tc>
          <w:tcPr>
            <w:tcW w:w="1824"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cantSplit/>
          <w:trHeight w:val="784"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注册资金</w:t>
            </w:r>
          </w:p>
        </w:tc>
        <w:tc>
          <w:tcPr>
            <w:tcW w:w="1822"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828"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2266"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中级职称人员</w:t>
            </w:r>
          </w:p>
        </w:tc>
        <w:tc>
          <w:tcPr>
            <w:tcW w:w="1824"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cantSplit/>
          <w:trHeight w:val="767"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开户银行</w:t>
            </w:r>
          </w:p>
        </w:tc>
        <w:tc>
          <w:tcPr>
            <w:tcW w:w="1822"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828"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2266"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初级职称人员</w:t>
            </w:r>
          </w:p>
        </w:tc>
        <w:tc>
          <w:tcPr>
            <w:tcW w:w="1824"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cantSplit/>
          <w:trHeight w:val="609"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账号</w:t>
            </w:r>
          </w:p>
        </w:tc>
        <w:tc>
          <w:tcPr>
            <w:tcW w:w="1822"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828" w:type="dxa"/>
            <w:vMerge w:val="continue"/>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c>
          <w:tcPr>
            <w:tcW w:w="2266" w:type="dxa"/>
            <w:gridSpan w:val="4"/>
            <w:tcBorders>
              <w:top w:val="single" w:color="000000" w:sz="4" w:space="0"/>
              <w:left w:val="single" w:color="000000" w:sz="4" w:space="0"/>
              <w:bottom w:val="single" w:color="000000" w:sz="4" w:space="0"/>
              <w:right w:val="single" w:color="000000" w:sz="4" w:space="0"/>
            </w:tcBorders>
            <w:vAlign w:val="center"/>
          </w:tcPr>
          <w:p>
            <w:pPr>
              <w:tabs>
                <w:tab w:val="left" w:pos="1240"/>
              </w:tabs>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技</w:t>
            </w:r>
            <w:r>
              <w:rPr>
                <w:rFonts w:hint="eastAsia" w:ascii="宋体" w:hAnsi="宋体" w:cs="宋体"/>
                <w:kern w:val="0"/>
                <w:szCs w:val="21"/>
              </w:rPr>
              <w:tab/>
            </w:r>
            <w:r>
              <w:rPr>
                <w:rFonts w:hint="eastAsia" w:ascii="宋体" w:hAnsi="宋体" w:cs="宋体"/>
                <w:kern w:val="0"/>
                <w:szCs w:val="21"/>
              </w:rPr>
              <w:t>工</w:t>
            </w:r>
          </w:p>
        </w:tc>
        <w:tc>
          <w:tcPr>
            <w:tcW w:w="1824"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trHeight w:val="1544"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经营范围</w:t>
            </w:r>
          </w:p>
        </w:tc>
        <w:tc>
          <w:tcPr>
            <w:tcW w:w="6740" w:type="dxa"/>
            <w:gridSpan w:val="9"/>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r>
        <w:tblPrEx>
          <w:tblLayout w:type="fixed"/>
          <w:tblCellMar>
            <w:top w:w="0" w:type="dxa"/>
            <w:left w:w="0" w:type="dxa"/>
            <w:bottom w:w="0" w:type="dxa"/>
            <w:right w:w="0" w:type="dxa"/>
          </w:tblCellMar>
        </w:tblPrEx>
        <w:trPr>
          <w:trHeight w:val="743" w:hRule="exact"/>
        </w:trPr>
        <w:tc>
          <w:tcPr>
            <w:tcW w:w="170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Cs w:val="21"/>
              </w:rPr>
            </w:pPr>
            <w:r>
              <w:rPr>
                <w:rFonts w:hint="eastAsia" w:ascii="宋体" w:hAnsi="宋体" w:cs="宋体"/>
                <w:kern w:val="0"/>
                <w:szCs w:val="21"/>
              </w:rPr>
              <w:t>备注</w:t>
            </w:r>
          </w:p>
        </w:tc>
        <w:tc>
          <w:tcPr>
            <w:tcW w:w="6740" w:type="dxa"/>
            <w:gridSpan w:val="9"/>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Cs w:val="21"/>
              </w:rPr>
            </w:pPr>
          </w:p>
        </w:tc>
      </w:tr>
    </w:tbl>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ind w:firstLine="420" w:firstLineChars="200"/>
        <w:rPr>
          <w:rFonts w:ascii="宋体" w:hAnsi="宋体" w:cs="宋体"/>
          <w:kern w:val="0"/>
        </w:rPr>
      </w:pPr>
    </w:p>
    <w:p>
      <w:pPr>
        <w:pStyle w:val="4"/>
        <w:jc w:val="center"/>
        <w:rPr>
          <w:rFonts w:ascii="宋体" w:hAnsi="宋体" w:cs="宋体"/>
          <w:kern w:val="0"/>
        </w:rPr>
      </w:pPr>
      <w:bookmarkStart w:id="754" w:name="_Toc287607886"/>
      <w:bookmarkStart w:id="755" w:name="_Toc287620833"/>
      <w:bookmarkStart w:id="756" w:name="_Toc224103514"/>
      <w:r>
        <w:rPr>
          <w:rFonts w:hint="eastAsia" w:ascii="宋体" w:hAnsi="宋体" w:cs="宋体"/>
        </w:rPr>
        <w:t>（三）项目管理机构</w:t>
      </w:r>
      <w:bookmarkEnd w:id="754"/>
      <w:bookmarkEnd w:id="755"/>
      <w:bookmarkEnd w:id="756"/>
    </w:p>
    <w:p>
      <w:pPr>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项目管理机构组成表</w:t>
      </w:r>
    </w:p>
    <w:tbl>
      <w:tblPr>
        <w:tblStyle w:val="60"/>
        <w:tblW w:w="8523" w:type="dxa"/>
        <w:tblInd w:w="112" w:type="dxa"/>
        <w:tblLayout w:type="fixed"/>
        <w:tblCellMar>
          <w:top w:w="0" w:type="dxa"/>
          <w:left w:w="0" w:type="dxa"/>
          <w:bottom w:w="0" w:type="dxa"/>
          <w:right w:w="0" w:type="dxa"/>
        </w:tblCellMar>
      </w:tblPr>
      <w:tblGrid>
        <w:gridCol w:w="647"/>
        <w:gridCol w:w="721"/>
        <w:gridCol w:w="719"/>
        <w:gridCol w:w="1081"/>
        <w:gridCol w:w="719"/>
        <w:gridCol w:w="721"/>
        <w:gridCol w:w="719"/>
        <w:gridCol w:w="2524"/>
        <w:gridCol w:w="672"/>
      </w:tblGrid>
      <w:tr>
        <w:tblPrEx>
          <w:tblLayout w:type="fixed"/>
          <w:tblCellMar>
            <w:top w:w="0" w:type="dxa"/>
            <w:left w:w="0" w:type="dxa"/>
            <w:bottom w:w="0" w:type="dxa"/>
            <w:right w:w="0" w:type="dxa"/>
          </w:tblCellMar>
        </w:tblPrEx>
        <w:trPr>
          <w:cantSplit/>
          <w:trHeight w:val="450" w:hRule="exact"/>
        </w:trPr>
        <w:tc>
          <w:tcPr>
            <w:tcW w:w="647"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职务</w:t>
            </w:r>
          </w:p>
        </w:tc>
        <w:tc>
          <w:tcPr>
            <w:tcW w:w="721"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姓名</w:t>
            </w:r>
          </w:p>
        </w:tc>
        <w:tc>
          <w:tcPr>
            <w:tcW w:w="719" w:type="dxa"/>
            <w:vMerge w:val="restart"/>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职称</w:t>
            </w:r>
          </w:p>
        </w:tc>
        <w:tc>
          <w:tcPr>
            <w:tcW w:w="5764" w:type="dxa"/>
            <w:gridSpan w:val="5"/>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执业或职业资格证明</w:t>
            </w:r>
          </w:p>
        </w:tc>
        <w:tc>
          <w:tcPr>
            <w:tcW w:w="672"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备注</w:t>
            </w:r>
          </w:p>
        </w:tc>
      </w:tr>
      <w:tr>
        <w:tblPrEx>
          <w:tblLayout w:type="fixed"/>
          <w:tblCellMar>
            <w:top w:w="0" w:type="dxa"/>
            <w:left w:w="0" w:type="dxa"/>
            <w:bottom w:w="0" w:type="dxa"/>
            <w:right w:w="0" w:type="dxa"/>
          </w:tblCellMar>
        </w:tblPrEx>
        <w:trPr>
          <w:cantSplit/>
          <w:trHeight w:val="957" w:hRule="exact"/>
        </w:trPr>
        <w:tc>
          <w:tcPr>
            <w:tcW w:w="647" w:type="dxa"/>
            <w:vMerge w:val="continue"/>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vMerge w:val="continue"/>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vMerge w:val="continue"/>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证书名称</w:t>
            </w:r>
          </w:p>
        </w:tc>
        <w:tc>
          <w:tcPr>
            <w:tcW w:w="71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级别</w:t>
            </w:r>
          </w:p>
        </w:tc>
        <w:tc>
          <w:tcPr>
            <w:tcW w:w="72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证号</w:t>
            </w:r>
          </w:p>
        </w:tc>
        <w:tc>
          <w:tcPr>
            <w:tcW w:w="719"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专业</w:t>
            </w:r>
          </w:p>
        </w:tc>
        <w:tc>
          <w:tcPr>
            <w:tcW w:w="252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养老保险</w:t>
            </w: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108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21"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719"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252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c>
          <w:tcPr>
            <w:tcW w:w="672"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napToGrid w:val="0"/>
              <w:spacing w:line="360" w:lineRule="auto"/>
              <w:jc w:val="left"/>
              <w:rPr>
                <w:rFonts w:ascii="宋体" w:hAnsi="宋体" w:cs="宋体"/>
                <w:kern w:val="0"/>
                <w:sz w:val="24"/>
              </w:rPr>
            </w:pPr>
          </w:p>
        </w:tc>
      </w:tr>
    </w:tbl>
    <w:p>
      <w:pPr>
        <w:pStyle w:val="4"/>
        <w:jc w:val="center"/>
        <w:rPr>
          <w:rFonts w:ascii="宋体" w:hAnsi="宋体" w:cs="宋体"/>
          <w:sz w:val="28"/>
        </w:rPr>
      </w:pPr>
      <w:bookmarkStart w:id="757" w:name="_Toc283211807"/>
      <w:bookmarkStart w:id="758" w:name="_Toc277082659"/>
      <w:r>
        <w:rPr>
          <w:rFonts w:hint="eastAsia" w:ascii="宋体" w:hAnsi="宋体" w:cs="宋体"/>
          <w:sz w:val="28"/>
        </w:rPr>
        <w:t>主要人员简历表</w:t>
      </w:r>
      <w:bookmarkEnd w:id="757"/>
      <w:bookmarkEnd w:id="758"/>
    </w:p>
    <w:p>
      <w:pPr>
        <w:rPr>
          <w:rFonts w:ascii="宋体" w:hAnsi="宋体" w:cs="宋体"/>
        </w:rPr>
      </w:pPr>
    </w:p>
    <w:tbl>
      <w:tblPr>
        <w:tblStyle w:val="60"/>
        <w:tblW w:w="8523" w:type="dxa"/>
        <w:tblInd w:w="112" w:type="dxa"/>
        <w:tblLayout w:type="fixed"/>
        <w:tblCellMar>
          <w:top w:w="0" w:type="dxa"/>
          <w:left w:w="0" w:type="dxa"/>
          <w:bottom w:w="0" w:type="dxa"/>
          <w:right w:w="0" w:type="dxa"/>
        </w:tblCellMar>
      </w:tblPr>
      <w:tblGrid>
        <w:gridCol w:w="1186"/>
        <w:gridCol w:w="360"/>
        <w:gridCol w:w="720"/>
        <w:gridCol w:w="926"/>
        <w:gridCol w:w="1066"/>
        <w:gridCol w:w="708"/>
        <w:gridCol w:w="1260"/>
        <w:gridCol w:w="162"/>
        <w:gridCol w:w="2135"/>
      </w:tblGrid>
      <w:tr>
        <w:tblPrEx>
          <w:tblLayout w:type="fixed"/>
          <w:tblCellMar>
            <w:top w:w="0" w:type="dxa"/>
            <w:left w:w="0" w:type="dxa"/>
            <w:bottom w:w="0" w:type="dxa"/>
            <w:right w:w="0" w:type="dxa"/>
          </w:tblCellMar>
        </w:tblPrEx>
        <w:trPr>
          <w:trHeight w:val="450" w:hRule="exact"/>
        </w:trPr>
        <w:tc>
          <w:tcPr>
            <w:tcW w:w="1186" w:type="dxa"/>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姓</w:t>
            </w:r>
            <w:r>
              <w:rPr>
                <w:rFonts w:hint="eastAsia" w:ascii="宋体" w:hAnsi="宋体" w:cs="宋体"/>
                <w:kern w:val="0"/>
                <w:szCs w:val="21"/>
              </w:rPr>
              <w:tab/>
            </w:r>
            <w:r>
              <w:rPr>
                <w:rFonts w:hint="eastAsia" w:ascii="宋体" w:hAnsi="宋体" w:cs="宋体"/>
                <w:kern w:val="0"/>
                <w:szCs w:val="21"/>
              </w:rPr>
              <w:t>名</w:t>
            </w:r>
          </w:p>
        </w:tc>
        <w:tc>
          <w:tcPr>
            <w:tcW w:w="1080"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c>
          <w:tcPr>
            <w:tcW w:w="92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年龄</w:t>
            </w:r>
          </w:p>
        </w:tc>
        <w:tc>
          <w:tcPr>
            <w:tcW w:w="1066"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学历</w:t>
            </w:r>
          </w:p>
        </w:tc>
        <w:tc>
          <w:tcPr>
            <w:tcW w:w="2135"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1186" w:type="dxa"/>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职</w:t>
            </w:r>
            <w:r>
              <w:rPr>
                <w:rFonts w:hint="eastAsia" w:ascii="宋体" w:hAnsi="宋体" w:cs="宋体"/>
                <w:kern w:val="0"/>
                <w:szCs w:val="21"/>
              </w:rPr>
              <w:tab/>
            </w:r>
            <w:r>
              <w:rPr>
                <w:rFonts w:hint="eastAsia" w:ascii="宋体" w:hAnsi="宋体" w:cs="宋体"/>
                <w:kern w:val="0"/>
                <w:szCs w:val="21"/>
              </w:rPr>
              <w:t>称</w:t>
            </w:r>
          </w:p>
        </w:tc>
        <w:tc>
          <w:tcPr>
            <w:tcW w:w="1080" w:type="dxa"/>
            <w:gridSpan w:val="2"/>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c>
          <w:tcPr>
            <w:tcW w:w="92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职务</w:t>
            </w:r>
          </w:p>
        </w:tc>
        <w:tc>
          <w:tcPr>
            <w:tcW w:w="1066"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c>
          <w:tcPr>
            <w:tcW w:w="2130" w:type="dxa"/>
            <w:gridSpan w:val="3"/>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拟在本合同任职</w:t>
            </w:r>
          </w:p>
        </w:tc>
        <w:tc>
          <w:tcPr>
            <w:tcW w:w="2135"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450" w:hRule="exact"/>
        </w:trPr>
        <w:tc>
          <w:tcPr>
            <w:tcW w:w="1186"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毕业学校</w:t>
            </w:r>
          </w:p>
        </w:tc>
        <w:tc>
          <w:tcPr>
            <w:tcW w:w="7337" w:type="dxa"/>
            <w:gridSpan w:val="8"/>
            <w:tcBorders>
              <w:top w:val="single" w:color="000000" w:sz="4" w:space="0"/>
              <w:left w:val="single" w:color="000000" w:sz="4" w:space="0"/>
              <w:bottom w:val="single" w:color="000000" w:sz="4" w:space="0"/>
              <w:right w:val="single" w:color="000000" w:sz="4" w:space="0"/>
            </w:tcBorders>
            <w:vAlign w:val="center"/>
          </w:tcPr>
          <w:p>
            <w:pPr>
              <w:tabs>
                <w:tab w:val="left" w:pos="2820"/>
                <w:tab w:val="left" w:pos="4080"/>
              </w:tabs>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年</w:t>
            </w:r>
            <w:r>
              <w:rPr>
                <w:rFonts w:hint="eastAsia" w:ascii="宋体" w:hAnsi="宋体" w:cs="宋体"/>
                <w:spacing w:val="-1"/>
                <w:kern w:val="0"/>
                <w:szCs w:val="21"/>
              </w:rPr>
              <w:t>毕</w:t>
            </w:r>
            <w:r>
              <w:rPr>
                <w:rFonts w:hint="eastAsia" w:ascii="宋体" w:hAnsi="宋体" w:cs="宋体"/>
                <w:kern w:val="0"/>
                <w:szCs w:val="21"/>
              </w:rPr>
              <w:t>业于</w:t>
            </w:r>
            <w:r>
              <w:rPr>
                <w:rFonts w:hint="eastAsia" w:ascii="宋体" w:hAnsi="宋体" w:cs="宋体"/>
                <w:kern w:val="0"/>
                <w:szCs w:val="21"/>
              </w:rPr>
              <w:tab/>
            </w:r>
            <w:r>
              <w:rPr>
                <w:rFonts w:hint="eastAsia" w:ascii="宋体" w:hAnsi="宋体" w:cs="宋体"/>
                <w:kern w:val="0"/>
                <w:szCs w:val="21"/>
              </w:rPr>
              <w:t>学校</w:t>
            </w:r>
            <w:r>
              <w:rPr>
                <w:rFonts w:hint="eastAsia" w:ascii="宋体" w:hAnsi="宋体" w:cs="宋体"/>
                <w:kern w:val="0"/>
                <w:szCs w:val="21"/>
              </w:rPr>
              <w:tab/>
            </w:r>
            <w:r>
              <w:rPr>
                <w:rFonts w:hint="eastAsia" w:ascii="宋体" w:hAnsi="宋体" w:cs="宋体"/>
                <w:kern w:val="0"/>
                <w:szCs w:val="21"/>
              </w:rPr>
              <w:t>专业</w:t>
            </w:r>
          </w:p>
        </w:tc>
      </w:tr>
      <w:tr>
        <w:tblPrEx>
          <w:tblLayout w:type="fixed"/>
          <w:tblCellMar>
            <w:top w:w="0" w:type="dxa"/>
            <w:left w:w="0" w:type="dxa"/>
            <w:bottom w:w="0" w:type="dxa"/>
            <w:right w:w="0" w:type="dxa"/>
          </w:tblCellMar>
        </w:tblPrEx>
        <w:trPr>
          <w:trHeight w:val="450" w:hRule="exact"/>
        </w:trPr>
        <w:tc>
          <w:tcPr>
            <w:tcW w:w="8523" w:type="dxa"/>
            <w:gridSpan w:val="9"/>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主要工作经历</w:t>
            </w:r>
          </w:p>
        </w:tc>
      </w:tr>
      <w:tr>
        <w:tblPrEx>
          <w:tblLayout w:type="fixed"/>
          <w:tblCellMar>
            <w:top w:w="0" w:type="dxa"/>
            <w:left w:w="0" w:type="dxa"/>
            <w:bottom w:w="0" w:type="dxa"/>
            <w:right w:w="0" w:type="dxa"/>
          </w:tblCellMar>
        </w:tblPrEx>
        <w:trPr>
          <w:trHeight w:val="450" w:hRule="exact"/>
        </w:trPr>
        <w:tc>
          <w:tcPr>
            <w:tcW w:w="1546" w:type="dxa"/>
            <w:gridSpan w:val="2"/>
            <w:tcBorders>
              <w:top w:val="single" w:color="000000" w:sz="4" w:space="0"/>
              <w:left w:val="single" w:color="000000" w:sz="4" w:space="0"/>
              <w:bottom w:val="single" w:color="000000" w:sz="4" w:space="0"/>
              <w:right w:val="single" w:color="000000" w:sz="4" w:space="0"/>
            </w:tcBorders>
            <w:vAlign w:val="center"/>
          </w:tcPr>
          <w:p>
            <w:pPr>
              <w:tabs>
                <w:tab w:val="left" w:pos="520"/>
              </w:tabs>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时</w:t>
            </w:r>
            <w:r>
              <w:rPr>
                <w:rFonts w:hint="eastAsia" w:ascii="宋体" w:hAnsi="宋体" w:cs="宋体"/>
                <w:kern w:val="0"/>
                <w:szCs w:val="21"/>
              </w:rPr>
              <w:tab/>
            </w:r>
            <w:r>
              <w:rPr>
                <w:rFonts w:hint="eastAsia" w:ascii="宋体" w:hAnsi="宋体" w:cs="宋体"/>
                <w:kern w:val="0"/>
                <w:szCs w:val="21"/>
              </w:rPr>
              <w:t>间</w:t>
            </w:r>
          </w:p>
        </w:tc>
        <w:tc>
          <w:tcPr>
            <w:tcW w:w="3420" w:type="dxa"/>
            <w:gridSpan w:val="4"/>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参加过的类似项目</w:t>
            </w:r>
          </w:p>
        </w:tc>
        <w:tc>
          <w:tcPr>
            <w:tcW w:w="1260"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担任职务</w:t>
            </w:r>
          </w:p>
        </w:tc>
        <w:tc>
          <w:tcPr>
            <w:tcW w:w="2297" w:type="dxa"/>
            <w:gridSpan w:val="2"/>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承包人及联系电话</w:t>
            </w: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0"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1"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r>
        <w:tblPrEx>
          <w:tblLayout w:type="fixed"/>
          <w:tblCellMar>
            <w:top w:w="0" w:type="dxa"/>
            <w:left w:w="0" w:type="dxa"/>
            <w:bottom w:w="0" w:type="dxa"/>
            <w:right w:w="0" w:type="dxa"/>
          </w:tblCellMar>
        </w:tblPrEx>
        <w:trPr>
          <w:trHeight w:val="434" w:hRule="exact"/>
        </w:trPr>
        <w:tc>
          <w:tcPr>
            <w:tcW w:w="1546"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3420" w:type="dxa"/>
            <w:gridSpan w:val="4"/>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1260" w:type="dxa"/>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c>
          <w:tcPr>
            <w:tcW w:w="2297" w:type="dxa"/>
            <w:gridSpan w:val="2"/>
            <w:tcBorders>
              <w:top w:val="single" w:color="000000" w:sz="4" w:space="0"/>
              <w:left w:val="single" w:color="000000" w:sz="4" w:space="0"/>
              <w:bottom w:val="single" w:color="000000" w:sz="4" w:space="0"/>
              <w:right w:val="single" w:color="000000" w:sz="4" w:space="0"/>
            </w:tcBorders>
          </w:tcPr>
          <w:p>
            <w:pPr>
              <w:keepNext/>
              <w:keepLines/>
              <w:autoSpaceDE w:val="0"/>
              <w:autoSpaceDN w:val="0"/>
              <w:adjustRightInd w:val="0"/>
              <w:snapToGrid w:val="0"/>
              <w:spacing w:before="340" w:after="330" w:line="360" w:lineRule="auto"/>
              <w:jc w:val="left"/>
              <w:outlineLvl w:val="0"/>
              <w:rPr>
                <w:rFonts w:ascii="宋体" w:hAnsi="宋体" w:cs="宋体"/>
                <w:kern w:val="0"/>
                <w:sz w:val="24"/>
              </w:rPr>
            </w:pPr>
          </w:p>
        </w:tc>
      </w:tr>
    </w:tbl>
    <w:p>
      <w:pPr>
        <w:ind w:left="600" w:leftChars="160" w:hanging="264" w:hangingChars="126"/>
        <w:rPr>
          <w:rFonts w:ascii="宋体" w:hAnsi="宋体" w:cs="宋体"/>
          <w:kern w:val="0"/>
          <w:szCs w:val="21"/>
        </w:rPr>
      </w:pPr>
    </w:p>
    <w:p>
      <w:pPr>
        <w:adjustRightInd w:val="0"/>
        <w:snapToGrid w:val="0"/>
        <w:spacing w:line="360" w:lineRule="auto"/>
        <w:rPr>
          <w:rFonts w:ascii="宋体" w:hAnsi="宋体" w:cs="宋体"/>
        </w:rPr>
      </w:pPr>
      <w:r>
        <w:rPr>
          <w:rFonts w:hint="eastAsia" w:ascii="宋体" w:hAnsi="宋体" w:cs="宋体"/>
        </w:rPr>
        <w:t>注：项目经理应附相关资格证、身份证、职称证、学历证、养老保险复印件；技术负责人应附身份证、职称证、学历证、养老保险复印件；其他主要人员应附职称证（执业证或上岗证书）、养老保险复印件。</w:t>
      </w:r>
      <w:r>
        <w:rPr>
          <w:rFonts w:hint="eastAsia" w:ascii="宋体" w:hAnsi="宋体" w:cs="宋体"/>
          <w:kern w:val="0"/>
          <w:szCs w:val="21"/>
        </w:rPr>
        <w:t>评标委员会可以要求提交</w:t>
      </w:r>
      <w:r>
        <w:rPr>
          <w:rFonts w:hint="eastAsia" w:ascii="宋体" w:hAnsi="宋体" w:cs="宋体"/>
        </w:rPr>
        <w:t>有关证明和证件的原件，以备核验。</w:t>
      </w:r>
    </w:p>
    <w:p>
      <w:pPr>
        <w:pStyle w:val="4"/>
        <w:spacing w:line="360" w:lineRule="auto"/>
        <w:jc w:val="center"/>
        <w:rPr>
          <w:rFonts w:ascii="宋体" w:hAnsi="宋体" w:cs="宋体"/>
          <w:sz w:val="28"/>
        </w:rPr>
      </w:pPr>
      <w:bookmarkStart w:id="759" w:name="_Toc287607889"/>
      <w:bookmarkStart w:id="760" w:name="_Toc224103516"/>
      <w:bookmarkStart w:id="761" w:name="_Toc277082661"/>
      <w:bookmarkStart w:id="762" w:name="_Toc287620835"/>
      <w:r>
        <w:rPr>
          <w:rFonts w:hint="eastAsia" w:ascii="宋体" w:hAnsi="宋体" w:cs="宋体"/>
        </w:rPr>
        <w:t>（四）</w:t>
      </w:r>
      <w:r>
        <w:rPr>
          <w:rFonts w:hint="eastAsia" w:ascii="宋体" w:hAnsi="宋体" w:cs="宋体"/>
          <w:szCs w:val="21"/>
        </w:rPr>
        <w:t>近年</w:t>
      </w:r>
      <w:r>
        <w:rPr>
          <w:rFonts w:hint="eastAsia" w:ascii="宋体" w:hAnsi="宋体" w:cs="宋体"/>
        </w:rPr>
        <w:t>完成的类似项目情况表</w:t>
      </w:r>
      <w:bookmarkEnd w:id="759"/>
      <w:bookmarkEnd w:id="760"/>
      <w:bookmarkEnd w:id="761"/>
      <w:bookmarkEnd w:id="762"/>
    </w:p>
    <w:tbl>
      <w:tblPr>
        <w:tblStyle w:val="60"/>
        <w:tblW w:w="8645" w:type="dxa"/>
        <w:tblInd w:w="112" w:type="dxa"/>
        <w:tblLayout w:type="fixed"/>
        <w:tblCellMar>
          <w:top w:w="0" w:type="dxa"/>
          <w:left w:w="0" w:type="dxa"/>
          <w:bottom w:w="0" w:type="dxa"/>
          <w:right w:w="0" w:type="dxa"/>
        </w:tblCellMar>
      </w:tblPr>
      <w:tblGrid>
        <w:gridCol w:w="1384"/>
        <w:gridCol w:w="7261"/>
      </w:tblGrid>
      <w:tr>
        <w:tblPrEx>
          <w:tblLayout w:type="fixed"/>
          <w:tblCellMar>
            <w:top w:w="0" w:type="dxa"/>
            <w:left w:w="0" w:type="dxa"/>
            <w:bottom w:w="0" w:type="dxa"/>
            <w:right w:w="0" w:type="dxa"/>
          </w:tblCellMar>
        </w:tblPrEx>
        <w:trPr>
          <w:trHeight w:val="682"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项目名称</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98"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项目所在地</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5"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承包人名称</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99"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承包人地址</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7"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承包人电话</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1"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合同价格</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94"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开工日期</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720"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竣工日期</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98"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承担的工作</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707"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工程质量</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99"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项目负责人</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710"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技术负责人</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915"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总监理工程师及电话</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2886"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0"/>
                <w:szCs w:val="20"/>
              </w:rPr>
            </w:pPr>
          </w:p>
          <w:p>
            <w:pPr>
              <w:keepNext/>
              <w:keepLines/>
              <w:autoSpaceDE w:val="0"/>
              <w:autoSpaceDN w:val="0"/>
              <w:adjustRightInd w:val="0"/>
              <w:snapToGrid w:val="0"/>
              <w:spacing w:before="340" w:after="330" w:line="360" w:lineRule="auto"/>
              <w:jc w:val="center"/>
              <w:outlineLvl w:val="0"/>
              <w:rPr>
                <w:rFonts w:ascii="宋体" w:hAnsi="宋体" w:cs="宋体"/>
                <w:kern w:val="0"/>
                <w:sz w:val="20"/>
                <w:szCs w:val="20"/>
              </w:rPr>
            </w:pPr>
          </w:p>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项目描述</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94" w:hRule="exact"/>
        </w:trPr>
        <w:tc>
          <w:tcPr>
            <w:tcW w:w="1384"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备注</w:t>
            </w:r>
          </w:p>
        </w:tc>
        <w:tc>
          <w:tcPr>
            <w:tcW w:w="7261"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bl>
    <w:p>
      <w:pPr>
        <w:pStyle w:val="4"/>
        <w:spacing w:line="360" w:lineRule="auto"/>
        <w:jc w:val="center"/>
        <w:rPr>
          <w:rFonts w:ascii="宋体" w:hAnsi="宋体" w:cs="宋体"/>
        </w:rPr>
      </w:pPr>
    </w:p>
    <w:p>
      <w:pPr>
        <w:pStyle w:val="4"/>
        <w:spacing w:line="360" w:lineRule="auto"/>
        <w:jc w:val="center"/>
        <w:rPr>
          <w:rFonts w:ascii="宋体" w:hAnsi="宋体" w:cs="宋体"/>
          <w:sz w:val="28"/>
        </w:rPr>
      </w:pPr>
      <w:r>
        <w:rPr>
          <w:rFonts w:hint="eastAsia" w:ascii="宋体" w:hAnsi="宋体" w:cs="宋体"/>
        </w:rPr>
        <w:t>（五）</w:t>
      </w:r>
      <w:r>
        <w:rPr>
          <w:rFonts w:hint="eastAsia" w:ascii="宋体" w:hAnsi="宋体" w:cs="宋体"/>
          <w:szCs w:val="21"/>
        </w:rPr>
        <w:t>项目负责人业绩</w:t>
      </w:r>
      <w:r>
        <w:rPr>
          <w:rFonts w:hint="eastAsia" w:ascii="宋体" w:hAnsi="宋体" w:cs="宋体"/>
        </w:rPr>
        <w:t>情况表</w:t>
      </w:r>
    </w:p>
    <w:tbl>
      <w:tblPr>
        <w:tblStyle w:val="60"/>
        <w:tblW w:w="8097" w:type="dxa"/>
        <w:tblInd w:w="112" w:type="dxa"/>
        <w:tblLayout w:type="fixed"/>
        <w:tblCellMar>
          <w:top w:w="0" w:type="dxa"/>
          <w:left w:w="0" w:type="dxa"/>
          <w:bottom w:w="0" w:type="dxa"/>
          <w:right w:w="0" w:type="dxa"/>
        </w:tblCellMar>
      </w:tblPr>
      <w:tblGrid>
        <w:gridCol w:w="1297"/>
        <w:gridCol w:w="6800"/>
      </w:tblGrid>
      <w:tr>
        <w:tblPrEx>
          <w:tblLayout w:type="fixed"/>
          <w:tblCellMar>
            <w:top w:w="0" w:type="dxa"/>
            <w:left w:w="0" w:type="dxa"/>
            <w:bottom w:w="0" w:type="dxa"/>
            <w:right w:w="0" w:type="dxa"/>
          </w:tblCellMar>
        </w:tblPrEx>
        <w:trPr>
          <w:trHeight w:val="625"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项目名称</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39"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项目所在地</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46"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发包人名称</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40"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发包人地址</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48"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发包人电话</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42"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合同价格</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36"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开工日期</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60"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竣工日期</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39"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承担的工作</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48"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工程质量</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40"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项目负责人</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50"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技术负责人</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838"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总监理工程师及电话</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2372"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项目描述</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r>
        <w:tblPrEx>
          <w:tblLayout w:type="fixed"/>
          <w:tblCellMar>
            <w:top w:w="0" w:type="dxa"/>
            <w:left w:w="0" w:type="dxa"/>
            <w:bottom w:w="0" w:type="dxa"/>
            <w:right w:w="0" w:type="dxa"/>
          </w:tblCellMar>
        </w:tblPrEx>
        <w:trPr>
          <w:trHeight w:val="636" w:hRule="exact"/>
        </w:trPr>
        <w:tc>
          <w:tcPr>
            <w:tcW w:w="1297"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napToGrid w:val="0"/>
              <w:spacing w:line="360" w:lineRule="auto"/>
              <w:jc w:val="center"/>
              <w:rPr>
                <w:rFonts w:ascii="宋体" w:hAnsi="宋体" w:cs="宋体"/>
                <w:kern w:val="0"/>
                <w:sz w:val="24"/>
              </w:rPr>
            </w:pPr>
            <w:r>
              <w:rPr>
                <w:rFonts w:hint="eastAsia" w:ascii="宋体" w:hAnsi="宋体" w:cs="宋体"/>
                <w:kern w:val="0"/>
                <w:szCs w:val="21"/>
              </w:rPr>
              <w:t>备注</w:t>
            </w:r>
          </w:p>
        </w:tc>
        <w:tc>
          <w:tcPr>
            <w:tcW w:w="6800" w:type="dxa"/>
            <w:tcBorders>
              <w:top w:val="single" w:color="000000" w:sz="4" w:space="0"/>
              <w:left w:val="single" w:color="000000" w:sz="4" w:space="0"/>
              <w:bottom w:val="single" w:color="000000" w:sz="4" w:space="0"/>
              <w:right w:val="single" w:color="000000" w:sz="4" w:space="0"/>
            </w:tcBorders>
            <w:vAlign w:val="center"/>
          </w:tcPr>
          <w:p>
            <w:pPr>
              <w:keepNext/>
              <w:keepLines/>
              <w:autoSpaceDE w:val="0"/>
              <w:autoSpaceDN w:val="0"/>
              <w:adjustRightInd w:val="0"/>
              <w:snapToGrid w:val="0"/>
              <w:spacing w:before="340" w:after="330" w:line="360" w:lineRule="auto"/>
              <w:jc w:val="center"/>
              <w:outlineLvl w:val="0"/>
              <w:rPr>
                <w:rFonts w:ascii="宋体" w:hAnsi="宋体" w:cs="宋体"/>
                <w:kern w:val="0"/>
                <w:sz w:val="24"/>
              </w:rPr>
            </w:pPr>
          </w:p>
        </w:tc>
      </w:tr>
    </w:tbl>
    <w:p>
      <w:pPr>
        <w:rPr>
          <w:rFonts w:ascii="宋体" w:hAnsi="宋体" w:cs="宋体"/>
          <w:b/>
          <w:kern w:val="0"/>
          <w:sz w:val="32"/>
          <w:szCs w:val="32"/>
        </w:rPr>
      </w:pPr>
    </w:p>
    <w:p>
      <w:pPr>
        <w:pStyle w:val="4"/>
        <w:ind w:firstLine="3694" w:firstLineChars="1150"/>
        <w:rPr>
          <w:rFonts w:ascii="宋体" w:hAnsi="宋体" w:cs="宋体"/>
        </w:rPr>
      </w:pPr>
      <w:r>
        <w:rPr>
          <w:rFonts w:hint="eastAsia" w:ascii="宋体" w:hAnsi="宋体" w:cs="宋体"/>
        </w:rPr>
        <w:t>（六）其他资料</w:t>
      </w:r>
    </w:p>
    <w:p>
      <w:pPr>
        <w:autoSpaceDE w:val="0"/>
        <w:autoSpaceDN w:val="0"/>
        <w:adjustRightInd w:val="0"/>
        <w:snapToGrid w:val="0"/>
        <w:spacing w:line="360" w:lineRule="auto"/>
        <w:jc w:val="center"/>
        <w:rPr>
          <w:rFonts w:ascii="宋体" w:hAnsi="宋体" w:cs="宋体"/>
          <w:sz w:val="24"/>
        </w:rPr>
      </w:pPr>
    </w:p>
    <w:p>
      <w:pPr>
        <w:autoSpaceDE w:val="0"/>
        <w:autoSpaceDN w:val="0"/>
        <w:adjustRightInd w:val="0"/>
        <w:snapToGrid w:val="0"/>
        <w:spacing w:line="360" w:lineRule="auto"/>
        <w:jc w:val="center"/>
        <w:rPr>
          <w:rFonts w:ascii="宋体" w:hAnsi="宋体" w:cs="宋体"/>
          <w:sz w:val="24"/>
        </w:rPr>
      </w:pPr>
    </w:p>
    <w:p>
      <w:pPr>
        <w:autoSpaceDE w:val="0"/>
        <w:autoSpaceDN w:val="0"/>
        <w:adjustRightInd w:val="0"/>
        <w:snapToGrid w:val="0"/>
        <w:spacing w:line="360" w:lineRule="auto"/>
        <w:jc w:val="center"/>
        <w:rPr>
          <w:rFonts w:ascii="宋体" w:hAnsi="宋体" w:cs="宋体"/>
          <w:sz w:val="24"/>
        </w:rPr>
      </w:pPr>
    </w:p>
    <w:p>
      <w:pPr>
        <w:autoSpaceDE w:val="0"/>
        <w:autoSpaceDN w:val="0"/>
        <w:adjustRightInd w:val="0"/>
        <w:snapToGrid w:val="0"/>
        <w:spacing w:line="360" w:lineRule="auto"/>
        <w:jc w:val="center"/>
        <w:rPr>
          <w:rFonts w:ascii="宋体" w:hAnsi="宋体" w:cs="宋体"/>
          <w:sz w:val="24"/>
        </w:rPr>
      </w:pPr>
    </w:p>
    <w:p>
      <w:pPr>
        <w:autoSpaceDE w:val="0"/>
        <w:autoSpaceDN w:val="0"/>
        <w:adjustRightInd w:val="0"/>
        <w:snapToGrid w:val="0"/>
        <w:spacing w:line="360" w:lineRule="auto"/>
        <w:jc w:val="center"/>
        <w:rPr>
          <w:rFonts w:ascii="宋体" w:hAnsi="宋体" w:cs="宋体"/>
          <w:sz w:val="24"/>
        </w:rPr>
      </w:pPr>
    </w:p>
    <w:p>
      <w:pPr>
        <w:autoSpaceDE w:val="0"/>
        <w:autoSpaceDN w:val="0"/>
        <w:adjustRightInd w:val="0"/>
        <w:snapToGrid w:val="0"/>
        <w:spacing w:line="360" w:lineRule="auto"/>
        <w:jc w:val="center"/>
        <w:rPr>
          <w:rFonts w:ascii="宋体" w:hAnsi="宋体" w:cs="宋体"/>
          <w:sz w:val="24"/>
        </w:rPr>
      </w:pPr>
    </w:p>
    <w:p>
      <w:pPr>
        <w:jc w:val="center"/>
        <w:rPr>
          <w:rFonts w:ascii="宋体" w:hAnsi="宋体" w:cs="宋体"/>
          <w:b/>
          <w:kern w:val="0"/>
          <w:sz w:val="32"/>
          <w:szCs w:val="32"/>
        </w:rPr>
      </w:pPr>
    </w:p>
    <w:p>
      <w:pPr>
        <w:tabs>
          <w:tab w:val="left" w:pos="2980"/>
          <w:tab w:val="left" w:pos="5940"/>
        </w:tabs>
        <w:autoSpaceDE w:val="0"/>
        <w:autoSpaceDN w:val="0"/>
        <w:adjustRightInd w:val="0"/>
        <w:snapToGrid w:val="0"/>
        <w:spacing w:line="360" w:lineRule="auto"/>
        <w:rPr>
          <w:rFonts w:ascii="宋体" w:hAnsi="宋体" w:cs="宋体"/>
          <w:b/>
          <w:sz w:val="32"/>
          <w:szCs w:val="32"/>
        </w:rPr>
        <w:sectPr>
          <w:pgSz w:w="11906" w:h="16838"/>
          <w:pgMar w:top="1418" w:right="1361" w:bottom="1418" w:left="1418" w:header="851" w:footer="992" w:gutter="0"/>
          <w:cols w:space="720" w:num="1"/>
          <w:docGrid w:linePitch="312" w:charSpace="0"/>
        </w:sectPr>
      </w:pPr>
    </w:p>
    <w:p>
      <w:pPr>
        <w:tabs>
          <w:tab w:val="left" w:pos="2980"/>
          <w:tab w:val="left" w:pos="5940"/>
        </w:tabs>
        <w:autoSpaceDE w:val="0"/>
        <w:autoSpaceDN w:val="0"/>
        <w:adjustRightInd w:val="0"/>
        <w:snapToGrid w:val="0"/>
        <w:spacing w:line="360" w:lineRule="auto"/>
        <w:rPr>
          <w:rFonts w:ascii="宋体" w:hAnsi="宋体" w:cs="宋体"/>
          <w:b/>
          <w:sz w:val="32"/>
          <w:szCs w:val="32"/>
        </w:rPr>
      </w:pPr>
    </w:p>
    <w:p>
      <w:pPr>
        <w:tabs>
          <w:tab w:val="left" w:pos="2980"/>
          <w:tab w:val="left" w:pos="5940"/>
        </w:tabs>
        <w:autoSpaceDE w:val="0"/>
        <w:autoSpaceDN w:val="0"/>
        <w:adjustRightInd w:val="0"/>
        <w:snapToGrid w:val="0"/>
        <w:spacing w:line="360" w:lineRule="auto"/>
        <w:jc w:val="center"/>
        <w:rPr>
          <w:rFonts w:ascii="宋体" w:hAnsi="宋体" w:cs="宋体"/>
          <w:b/>
          <w:sz w:val="44"/>
          <w:szCs w:val="32"/>
        </w:rPr>
      </w:pPr>
      <w:r>
        <w:rPr>
          <w:rFonts w:hint="eastAsia" w:ascii="宋体" w:hAnsi="宋体" w:cs="宋体"/>
          <w:b/>
          <w:sz w:val="44"/>
          <w:szCs w:val="32"/>
        </w:rPr>
        <w:t>西彭组团D63、D64地块厂房项目</w:t>
      </w:r>
    </w:p>
    <w:p>
      <w:pPr>
        <w:tabs>
          <w:tab w:val="left" w:pos="2980"/>
          <w:tab w:val="left" w:pos="5940"/>
        </w:tabs>
        <w:autoSpaceDE w:val="0"/>
        <w:autoSpaceDN w:val="0"/>
        <w:adjustRightInd w:val="0"/>
        <w:snapToGrid w:val="0"/>
        <w:spacing w:line="360" w:lineRule="auto"/>
        <w:jc w:val="center"/>
        <w:rPr>
          <w:rFonts w:ascii="宋体" w:hAnsi="宋体" w:cs="宋体"/>
          <w:b/>
          <w:sz w:val="44"/>
          <w:szCs w:val="32"/>
        </w:rPr>
      </w:pPr>
      <w:r>
        <w:rPr>
          <w:rFonts w:hint="eastAsia" w:ascii="宋体" w:hAnsi="宋体" w:cs="宋体"/>
          <w:b/>
          <w:sz w:val="44"/>
          <w:szCs w:val="32"/>
        </w:rPr>
        <w:t>钢结构工程专业分包</w:t>
      </w: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宋体"/>
          <w:b/>
          <w:kern w:val="0"/>
          <w:sz w:val="56"/>
          <w:szCs w:val="84"/>
        </w:rPr>
      </w:pPr>
      <w:r>
        <w:rPr>
          <w:rFonts w:hint="eastAsia" w:ascii="宋体" w:hAnsi="宋体" w:cs="宋体"/>
          <w:b/>
          <w:kern w:val="0"/>
          <w:sz w:val="56"/>
          <w:szCs w:val="84"/>
        </w:rPr>
        <w:t>投标文件</w:t>
      </w:r>
    </w:p>
    <w:p>
      <w:pPr>
        <w:autoSpaceDE w:val="0"/>
        <w:autoSpaceDN w:val="0"/>
        <w:adjustRightInd w:val="0"/>
        <w:snapToGrid w:val="0"/>
        <w:spacing w:line="360" w:lineRule="auto"/>
        <w:jc w:val="center"/>
        <w:rPr>
          <w:rFonts w:ascii="宋体" w:hAnsi="宋体" w:cs="宋体"/>
          <w:kern w:val="0"/>
          <w:sz w:val="16"/>
          <w:szCs w:val="16"/>
        </w:rPr>
      </w:pPr>
    </w:p>
    <w:p>
      <w:pPr>
        <w:autoSpaceDE w:val="0"/>
        <w:autoSpaceDN w:val="0"/>
        <w:adjustRightInd w:val="0"/>
        <w:snapToGrid w:val="0"/>
        <w:spacing w:line="360" w:lineRule="auto"/>
        <w:jc w:val="center"/>
        <w:rPr>
          <w:rFonts w:ascii="宋体" w:hAnsi="宋体" w:cs="宋体"/>
          <w:b/>
          <w:kern w:val="0"/>
          <w:sz w:val="36"/>
          <w:szCs w:val="36"/>
        </w:rPr>
      </w:pPr>
      <w:r>
        <w:rPr>
          <w:rFonts w:hint="eastAsia" w:ascii="宋体" w:hAnsi="宋体" w:cs="宋体"/>
          <w:b/>
          <w:kern w:val="0"/>
          <w:sz w:val="36"/>
          <w:szCs w:val="36"/>
        </w:rPr>
        <w:t>技术部分</w:t>
      </w:r>
    </w:p>
    <w:p>
      <w:pPr>
        <w:autoSpaceDE w:val="0"/>
        <w:autoSpaceDN w:val="0"/>
        <w:adjustRightInd w:val="0"/>
        <w:snapToGrid w:val="0"/>
        <w:spacing w:line="360" w:lineRule="auto"/>
        <w:jc w:val="left"/>
        <w:rPr>
          <w:rFonts w:ascii="宋体" w:hAnsi="宋体" w:cs="宋体"/>
          <w:kern w:val="0"/>
          <w:sz w:val="20"/>
          <w:szCs w:val="20"/>
        </w:rPr>
      </w:pPr>
    </w:p>
    <w:p>
      <w:pPr>
        <w:adjustRightInd w:val="0"/>
        <w:snapToGrid w:val="0"/>
        <w:spacing w:line="264" w:lineRule="auto"/>
        <w:ind w:firstLine="630" w:firstLineChars="300"/>
        <w:rPr>
          <w:rFonts w:ascii="宋体" w:hAnsi="宋体" w:cs="宋体"/>
          <w:szCs w:val="21"/>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投标人</w:t>
      </w:r>
      <w:r>
        <w:rPr>
          <w:rFonts w:hint="eastAsia" w:ascii="宋体" w:hAnsi="宋体" w:cs="宋体"/>
          <w:b/>
          <w:spacing w:val="1"/>
          <w:kern w:val="0"/>
          <w:sz w:val="28"/>
          <w:szCs w:val="28"/>
        </w:rPr>
        <w:t>：</w:t>
      </w:r>
      <w:r>
        <w:rPr>
          <w:rFonts w:hint="eastAsia" w:ascii="宋体" w:hAnsi="宋体" w:cs="宋体"/>
          <w:b/>
          <w:kern w:val="0"/>
          <w:sz w:val="28"/>
          <w:szCs w:val="28"/>
          <w:u w:val="single"/>
        </w:rPr>
        <w:t>　　　　 　　</w:t>
      </w:r>
      <w:r>
        <w:rPr>
          <w:rFonts w:hint="eastAsia" w:ascii="宋体" w:hAnsi="宋体" w:cs="宋体"/>
          <w:b/>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法定代表人或其委托代理人：</w:t>
      </w:r>
      <w:r>
        <w:rPr>
          <w:rFonts w:hint="eastAsia" w:ascii="宋体" w:hAnsi="宋体" w:cs="宋体"/>
          <w:b/>
          <w:kern w:val="0"/>
          <w:sz w:val="28"/>
          <w:szCs w:val="28"/>
          <w:u w:val="single"/>
        </w:rPr>
        <w:t>　 　　</w:t>
      </w:r>
      <w:r>
        <w:rPr>
          <w:rFonts w:hint="eastAsia" w:ascii="宋体" w:hAnsi="宋体" w:cs="宋体"/>
          <w:b/>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年月日</w:t>
      </w:r>
    </w:p>
    <w:p>
      <w:pPr>
        <w:jc w:val="center"/>
        <w:rPr>
          <w:rFonts w:ascii="宋体" w:hAnsi="宋体" w:cs="宋体"/>
          <w:kern w:val="0"/>
          <w:sz w:val="24"/>
          <w:szCs w:val="21"/>
        </w:rPr>
      </w:pPr>
      <w:r>
        <w:rPr>
          <w:rFonts w:hint="eastAsia" w:ascii="宋体" w:hAnsi="宋体" w:cs="宋体"/>
          <w:kern w:val="0"/>
          <w:sz w:val="24"/>
          <w:szCs w:val="21"/>
        </w:rPr>
        <w:br w:type="page"/>
      </w:r>
    </w:p>
    <w:p>
      <w:pPr>
        <w:pStyle w:val="3"/>
        <w:jc w:val="center"/>
        <w:rPr>
          <w:rFonts w:ascii="宋体" w:hAnsi="宋体" w:cs="宋体"/>
          <w:bCs w:val="0"/>
          <w:szCs w:val="28"/>
        </w:rPr>
      </w:pPr>
      <w:r>
        <w:rPr>
          <w:rFonts w:hint="eastAsia" w:ascii="宋体" w:hAnsi="宋体" w:cs="宋体"/>
          <w:bCs w:val="0"/>
          <w:szCs w:val="28"/>
        </w:rPr>
        <w:t>三、技术部分</w:t>
      </w: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4"/>
        </w:rPr>
      </w:pPr>
    </w:p>
    <w:p>
      <w:pPr>
        <w:autoSpaceDE w:val="0"/>
        <w:autoSpaceDN w:val="0"/>
        <w:adjustRightInd w:val="0"/>
        <w:snapToGrid w:val="0"/>
        <w:spacing w:line="360" w:lineRule="auto"/>
        <w:rPr>
          <w:rFonts w:ascii="宋体" w:hAnsi="宋体" w:cs="宋体"/>
          <w:kern w:val="0"/>
          <w:sz w:val="24"/>
        </w:rPr>
      </w:pPr>
      <w:r>
        <w:rPr>
          <w:rFonts w:hint="eastAsia" w:ascii="宋体" w:hAnsi="宋体" w:cs="宋体"/>
          <w:kern w:val="0"/>
          <w:sz w:val="24"/>
        </w:rPr>
        <w:t>1、投标人应编制“劳务实施方案”，采用文字并结合图表形式说明劳务实施方案；详述拟投入本标段的主要施工设备情况</w:t>
      </w:r>
      <w:r>
        <w:rPr>
          <w:rFonts w:hint="eastAsia" w:ascii="宋体" w:hAnsi="宋体" w:cs="宋体"/>
          <w:spacing w:val="-47"/>
          <w:kern w:val="0"/>
          <w:sz w:val="24"/>
        </w:rPr>
        <w:t>、</w:t>
      </w:r>
      <w:r>
        <w:rPr>
          <w:rFonts w:hint="eastAsia" w:ascii="宋体" w:hAnsi="宋体" w:cs="宋体"/>
          <w:kern w:val="0"/>
          <w:sz w:val="24"/>
        </w:rPr>
        <w:t>劳动力计划等</w:t>
      </w:r>
      <w:r>
        <w:rPr>
          <w:rFonts w:hint="eastAsia" w:ascii="宋体" w:hAnsi="宋体" w:cs="宋体"/>
          <w:spacing w:val="-19"/>
          <w:kern w:val="0"/>
          <w:sz w:val="24"/>
        </w:rPr>
        <w:t>；</w:t>
      </w:r>
      <w:r>
        <w:rPr>
          <w:rFonts w:hint="eastAsia" w:ascii="宋体" w:hAnsi="宋体" w:cs="宋体"/>
          <w:kern w:val="0"/>
          <w:sz w:val="24"/>
        </w:rPr>
        <w:t>结合工程特点提出切实可行的工程质量</w:t>
      </w:r>
      <w:r>
        <w:rPr>
          <w:rFonts w:hint="eastAsia" w:ascii="宋体" w:hAnsi="宋体" w:cs="宋体"/>
          <w:spacing w:val="-19"/>
          <w:kern w:val="0"/>
          <w:sz w:val="24"/>
        </w:rPr>
        <w:t>、</w:t>
      </w:r>
      <w:r>
        <w:rPr>
          <w:rFonts w:hint="eastAsia" w:ascii="宋体" w:hAnsi="宋体" w:cs="宋体"/>
          <w:kern w:val="0"/>
          <w:sz w:val="24"/>
        </w:rPr>
        <w:t>安全生产</w:t>
      </w:r>
      <w:r>
        <w:rPr>
          <w:rFonts w:hint="eastAsia" w:ascii="宋体" w:hAnsi="宋体" w:cs="宋体"/>
          <w:spacing w:val="-19"/>
          <w:kern w:val="0"/>
          <w:sz w:val="24"/>
        </w:rPr>
        <w:t>、</w:t>
      </w:r>
      <w:r>
        <w:rPr>
          <w:rFonts w:hint="eastAsia" w:ascii="宋体" w:hAnsi="宋体" w:cs="宋体"/>
          <w:kern w:val="0"/>
          <w:sz w:val="24"/>
        </w:rPr>
        <w:t>文明施工</w:t>
      </w:r>
      <w:r>
        <w:rPr>
          <w:rFonts w:hint="eastAsia" w:ascii="宋体" w:hAnsi="宋体" w:cs="宋体"/>
          <w:spacing w:val="-19"/>
          <w:kern w:val="0"/>
          <w:sz w:val="24"/>
        </w:rPr>
        <w:t>、</w:t>
      </w:r>
      <w:r>
        <w:rPr>
          <w:rFonts w:hint="eastAsia" w:ascii="宋体" w:hAnsi="宋体" w:cs="宋体"/>
          <w:kern w:val="0"/>
          <w:sz w:val="24"/>
        </w:rPr>
        <w:t>工程进度</w:t>
      </w:r>
      <w:r>
        <w:rPr>
          <w:rFonts w:hint="eastAsia" w:ascii="宋体" w:hAnsi="宋体" w:cs="宋体"/>
          <w:spacing w:val="-19"/>
          <w:kern w:val="0"/>
          <w:sz w:val="24"/>
        </w:rPr>
        <w:t>、</w:t>
      </w:r>
      <w:r>
        <w:rPr>
          <w:rFonts w:hint="eastAsia" w:ascii="宋体" w:hAnsi="宋体" w:cs="宋体"/>
          <w:kern w:val="0"/>
          <w:sz w:val="24"/>
        </w:rPr>
        <w:t>技术组</w:t>
      </w:r>
      <w:r>
        <w:rPr>
          <w:rFonts w:hint="eastAsia" w:ascii="宋体" w:hAnsi="宋体" w:cs="宋体"/>
          <w:spacing w:val="1"/>
          <w:kern w:val="0"/>
          <w:sz w:val="24"/>
        </w:rPr>
        <w:t>织</w:t>
      </w:r>
      <w:r>
        <w:rPr>
          <w:rFonts w:hint="eastAsia" w:ascii="宋体" w:hAnsi="宋体" w:cs="宋体"/>
          <w:kern w:val="0"/>
          <w:sz w:val="24"/>
        </w:rPr>
        <w:t>措施，同时应对关键工序、复杂环节重点提出相应技术措施，如冬雨季施工技术、减少噪音、降低环境污染、地下管线及其他地上地下设施的保护加固措施等。</w:t>
      </w:r>
    </w:p>
    <w:p>
      <w:pPr>
        <w:spacing w:line="360" w:lineRule="auto"/>
        <w:rPr>
          <w:rFonts w:ascii="宋体" w:hAnsi="宋体" w:cs="宋体"/>
          <w:sz w:val="24"/>
        </w:rPr>
      </w:pPr>
      <w:r>
        <w:rPr>
          <w:rFonts w:hint="eastAsia" w:ascii="宋体" w:hAnsi="宋体" w:cs="宋体"/>
          <w:sz w:val="24"/>
        </w:rPr>
        <w:t>2、</w:t>
      </w:r>
      <w:r>
        <w:rPr>
          <w:rFonts w:hint="eastAsia" w:ascii="宋体" w:hAnsi="宋体" w:cs="宋体"/>
          <w:kern w:val="0"/>
          <w:sz w:val="24"/>
        </w:rPr>
        <w:t>劳务实施方案</w:t>
      </w:r>
      <w:r>
        <w:rPr>
          <w:rFonts w:hint="eastAsia" w:ascii="宋体" w:hAnsi="宋体" w:cs="宋体"/>
          <w:sz w:val="24"/>
        </w:rPr>
        <w:t>除采用文字表述外应附下列图表，图表及格式要求附后。</w:t>
      </w:r>
    </w:p>
    <w:p>
      <w:pPr>
        <w:spacing w:line="360" w:lineRule="auto"/>
        <w:ind w:left="210" w:leftChars="100" w:firstLine="240" w:firstLineChars="100"/>
        <w:rPr>
          <w:rFonts w:ascii="宋体" w:hAnsi="宋体" w:cs="宋体"/>
          <w:sz w:val="24"/>
        </w:rPr>
      </w:pPr>
      <w:r>
        <w:rPr>
          <w:rFonts w:hint="eastAsia" w:ascii="宋体" w:hAnsi="宋体" w:cs="宋体"/>
          <w:sz w:val="24"/>
        </w:rPr>
        <w:t>2.1 拟投入的主要施工机械设备表                          表1</w:t>
      </w:r>
    </w:p>
    <w:p>
      <w:pPr>
        <w:spacing w:line="360" w:lineRule="auto"/>
        <w:ind w:left="210" w:leftChars="100" w:firstLine="240" w:firstLineChars="100"/>
        <w:rPr>
          <w:rFonts w:ascii="宋体" w:hAnsi="宋体" w:cs="宋体"/>
          <w:sz w:val="24"/>
        </w:rPr>
      </w:pPr>
      <w:r>
        <w:rPr>
          <w:rFonts w:hint="eastAsia" w:ascii="宋体" w:hAnsi="宋体" w:cs="宋体"/>
          <w:sz w:val="24"/>
        </w:rPr>
        <w:t>2.2 劳动力计划表                                        表2</w:t>
      </w:r>
    </w:p>
    <w:p>
      <w:pPr>
        <w:autoSpaceDE w:val="0"/>
        <w:autoSpaceDN w:val="0"/>
        <w:adjustRightInd w:val="0"/>
        <w:snapToGrid w:val="0"/>
        <w:spacing w:line="360" w:lineRule="auto"/>
        <w:ind w:firstLine="420"/>
        <w:rPr>
          <w:rFonts w:ascii="宋体" w:hAnsi="宋体" w:cs="宋体"/>
          <w:sz w:val="24"/>
        </w:rPr>
      </w:pPr>
      <w:r>
        <w:rPr>
          <w:rFonts w:hint="eastAsia" w:ascii="宋体" w:hAnsi="宋体" w:cs="宋体"/>
          <w:sz w:val="24"/>
        </w:rPr>
        <w:t>2.3 计划开、竣工日期和施工进度网络图                     表3</w:t>
      </w:r>
    </w:p>
    <w:p>
      <w:pPr>
        <w:autoSpaceDE w:val="0"/>
        <w:autoSpaceDN w:val="0"/>
        <w:adjustRightInd w:val="0"/>
        <w:snapToGrid w:val="0"/>
        <w:spacing w:line="360" w:lineRule="auto"/>
        <w:rPr>
          <w:rFonts w:ascii="宋体" w:hAnsi="宋体" w:cs="宋体"/>
          <w:sz w:val="24"/>
        </w:rPr>
      </w:pPr>
      <w:r>
        <w:rPr>
          <w:rFonts w:hint="eastAsia" w:ascii="宋体" w:hAnsi="宋体" w:cs="宋体"/>
          <w:sz w:val="24"/>
        </w:rPr>
        <w:t>3、技术偏离表</w:t>
      </w:r>
    </w:p>
    <w:p>
      <w:pPr>
        <w:autoSpaceDE w:val="0"/>
        <w:autoSpaceDN w:val="0"/>
        <w:adjustRightInd w:val="0"/>
        <w:snapToGrid w:val="0"/>
        <w:spacing w:line="360" w:lineRule="auto"/>
        <w:rPr>
          <w:rFonts w:ascii="宋体" w:hAnsi="宋体" w:cs="宋体"/>
          <w:kern w:val="0"/>
          <w:szCs w:val="21"/>
        </w:rPr>
      </w:pP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4"/>
        </w:rPr>
      </w:pP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4"/>
        </w:rPr>
      </w:pP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4"/>
        </w:rPr>
      </w:pPr>
    </w:p>
    <w:p>
      <w:pPr>
        <w:tabs>
          <w:tab w:val="left" w:pos="2580"/>
          <w:tab w:val="left" w:pos="5940"/>
        </w:tabs>
        <w:autoSpaceDE w:val="0"/>
        <w:autoSpaceDN w:val="0"/>
        <w:adjustRightInd w:val="0"/>
        <w:snapToGrid w:val="0"/>
        <w:spacing w:line="360" w:lineRule="auto"/>
        <w:ind w:firstLine="2940"/>
        <w:jc w:val="left"/>
        <w:rPr>
          <w:rFonts w:ascii="宋体" w:hAnsi="宋体" w:cs="宋体"/>
          <w:kern w:val="0"/>
          <w:sz w:val="24"/>
        </w:rPr>
      </w:pPr>
    </w:p>
    <w:p>
      <w:pPr>
        <w:tabs>
          <w:tab w:val="left" w:pos="2580"/>
          <w:tab w:val="left" w:pos="5940"/>
        </w:tabs>
        <w:autoSpaceDE w:val="0"/>
        <w:autoSpaceDN w:val="0"/>
        <w:adjustRightInd w:val="0"/>
        <w:snapToGrid w:val="0"/>
        <w:spacing w:line="360" w:lineRule="auto"/>
        <w:jc w:val="left"/>
        <w:rPr>
          <w:rFonts w:ascii="宋体" w:hAnsi="宋体" w:cs="宋体"/>
        </w:rPr>
      </w:pPr>
      <w:r>
        <w:rPr>
          <w:rFonts w:hint="eastAsia" w:ascii="宋体" w:hAnsi="宋体" w:cs="宋体"/>
        </w:rPr>
        <w:br w:type="page"/>
      </w:r>
    </w:p>
    <w:p>
      <w:pPr>
        <w:tabs>
          <w:tab w:val="left" w:pos="2580"/>
          <w:tab w:val="left" w:pos="5940"/>
        </w:tabs>
        <w:autoSpaceDE w:val="0"/>
        <w:autoSpaceDN w:val="0"/>
        <w:adjustRightInd w:val="0"/>
        <w:snapToGrid w:val="0"/>
        <w:spacing w:line="360" w:lineRule="auto"/>
        <w:jc w:val="center"/>
        <w:rPr>
          <w:rFonts w:ascii="宋体" w:hAnsi="宋体" w:cs="宋体"/>
          <w:b/>
          <w:sz w:val="28"/>
          <w:szCs w:val="28"/>
        </w:rPr>
      </w:pPr>
      <w:r>
        <w:rPr>
          <w:rFonts w:hint="eastAsia" w:ascii="宋体" w:hAnsi="宋体" w:cs="宋体"/>
          <w:b/>
          <w:sz w:val="28"/>
          <w:szCs w:val="28"/>
        </w:rPr>
        <w:t>表 1       拟投入的主要施工机械设备表</w:t>
      </w:r>
    </w:p>
    <w:tbl>
      <w:tblPr>
        <w:tblStyle w:val="60"/>
        <w:tblW w:w="93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300"/>
        <w:gridCol w:w="979"/>
        <w:gridCol w:w="720"/>
        <w:gridCol w:w="801"/>
        <w:gridCol w:w="1100"/>
        <w:gridCol w:w="1100"/>
        <w:gridCol w:w="800"/>
        <w:gridCol w:w="1000"/>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0" w:type="dxa"/>
            <w:vAlign w:val="center"/>
          </w:tcPr>
          <w:p>
            <w:pPr>
              <w:spacing w:line="360" w:lineRule="auto"/>
              <w:jc w:val="center"/>
              <w:rPr>
                <w:rFonts w:ascii="宋体" w:hAnsi="宋体" w:cs="宋体"/>
                <w:sz w:val="24"/>
              </w:rPr>
            </w:pPr>
            <w:r>
              <w:rPr>
                <w:rFonts w:hint="eastAsia" w:ascii="宋体" w:hAnsi="宋体" w:cs="宋体"/>
                <w:sz w:val="24"/>
              </w:rPr>
              <w:t>序号</w:t>
            </w:r>
          </w:p>
        </w:tc>
        <w:tc>
          <w:tcPr>
            <w:tcW w:w="1300" w:type="dxa"/>
            <w:vAlign w:val="center"/>
          </w:tcPr>
          <w:p>
            <w:pPr>
              <w:spacing w:line="360" w:lineRule="auto"/>
              <w:jc w:val="center"/>
              <w:rPr>
                <w:rFonts w:ascii="宋体" w:hAnsi="宋体" w:cs="宋体"/>
                <w:sz w:val="24"/>
              </w:rPr>
            </w:pPr>
            <w:r>
              <w:rPr>
                <w:rFonts w:hint="eastAsia" w:ascii="宋体" w:hAnsi="宋体" w:cs="宋体"/>
                <w:sz w:val="24"/>
              </w:rPr>
              <w:t>机械或</w:t>
            </w:r>
          </w:p>
          <w:p>
            <w:pPr>
              <w:spacing w:line="360" w:lineRule="auto"/>
              <w:jc w:val="center"/>
              <w:rPr>
                <w:rFonts w:ascii="宋体" w:hAnsi="宋体" w:cs="宋体"/>
                <w:sz w:val="24"/>
              </w:rPr>
            </w:pPr>
            <w:r>
              <w:rPr>
                <w:rFonts w:hint="eastAsia" w:ascii="宋体" w:hAnsi="宋体" w:cs="宋体"/>
                <w:sz w:val="24"/>
              </w:rPr>
              <w:t>设备名称</w:t>
            </w:r>
          </w:p>
        </w:tc>
        <w:tc>
          <w:tcPr>
            <w:tcW w:w="979" w:type="dxa"/>
            <w:vAlign w:val="center"/>
          </w:tcPr>
          <w:p>
            <w:pPr>
              <w:spacing w:line="360" w:lineRule="auto"/>
              <w:jc w:val="center"/>
              <w:rPr>
                <w:rFonts w:ascii="宋体" w:hAnsi="宋体" w:cs="宋体"/>
                <w:sz w:val="24"/>
              </w:rPr>
            </w:pPr>
            <w:r>
              <w:rPr>
                <w:rFonts w:hint="eastAsia" w:ascii="宋体" w:hAnsi="宋体" w:cs="宋体"/>
                <w:sz w:val="24"/>
              </w:rPr>
              <w:t>型号</w:t>
            </w:r>
          </w:p>
          <w:p>
            <w:pPr>
              <w:spacing w:line="360" w:lineRule="auto"/>
              <w:jc w:val="center"/>
              <w:rPr>
                <w:rFonts w:ascii="宋体" w:hAnsi="宋体" w:cs="宋体"/>
                <w:sz w:val="24"/>
              </w:rPr>
            </w:pPr>
            <w:r>
              <w:rPr>
                <w:rFonts w:hint="eastAsia" w:ascii="宋体" w:hAnsi="宋体" w:cs="宋体"/>
                <w:sz w:val="24"/>
              </w:rPr>
              <w:t>规格</w:t>
            </w:r>
          </w:p>
        </w:tc>
        <w:tc>
          <w:tcPr>
            <w:tcW w:w="720" w:type="dxa"/>
            <w:vAlign w:val="center"/>
          </w:tcPr>
          <w:p>
            <w:pPr>
              <w:spacing w:line="360" w:lineRule="auto"/>
              <w:jc w:val="center"/>
              <w:rPr>
                <w:rFonts w:ascii="宋体" w:hAnsi="宋体" w:cs="宋体"/>
                <w:sz w:val="24"/>
              </w:rPr>
            </w:pPr>
            <w:r>
              <w:rPr>
                <w:rFonts w:hint="eastAsia" w:ascii="宋体" w:hAnsi="宋体" w:cs="宋体"/>
                <w:sz w:val="24"/>
              </w:rPr>
              <w:t>数量</w:t>
            </w:r>
          </w:p>
        </w:tc>
        <w:tc>
          <w:tcPr>
            <w:tcW w:w="801" w:type="dxa"/>
            <w:vAlign w:val="center"/>
          </w:tcPr>
          <w:p>
            <w:pPr>
              <w:spacing w:line="360" w:lineRule="auto"/>
              <w:jc w:val="center"/>
              <w:rPr>
                <w:rFonts w:ascii="宋体" w:hAnsi="宋体" w:cs="宋体"/>
                <w:sz w:val="24"/>
              </w:rPr>
            </w:pPr>
            <w:r>
              <w:rPr>
                <w:rFonts w:hint="eastAsia" w:ascii="宋体" w:hAnsi="宋体" w:cs="宋体"/>
                <w:sz w:val="24"/>
              </w:rPr>
              <w:t>国别产地</w:t>
            </w:r>
          </w:p>
        </w:tc>
        <w:tc>
          <w:tcPr>
            <w:tcW w:w="1100" w:type="dxa"/>
            <w:vAlign w:val="center"/>
          </w:tcPr>
          <w:p>
            <w:pPr>
              <w:spacing w:line="360" w:lineRule="auto"/>
              <w:jc w:val="center"/>
              <w:rPr>
                <w:rFonts w:ascii="宋体" w:hAnsi="宋体" w:cs="宋体"/>
                <w:sz w:val="24"/>
              </w:rPr>
            </w:pPr>
            <w:r>
              <w:rPr>
                <w:rFonts w:hint="eastAsia" w:ascii="宋体" w:hAnsi="宋体" w:cs="宋体"/>
                <w:sz w:val="24"/>
              </w:rPr>
              <w:t>制造年份</w:t>
            </w:r>
          </w:p>
        </w:tc>
        <w:tc>
          <w:tcPr>
            <w:tcW w:w="1100" w:type="dxa"/>
            <w:vAlign w:val="center"/>
          </w:tcPr>
          <w:p>
            <w:pPr>
              <w:spacing w:line="360" w:lineRule="auto"/>
              <w:jc w:val="center"/>
              <w:rPr>
                <w:rFonts w:ascii="宋体" w:hAnsi="宋体" w:cs="宋体"/>
                <w:sz w:val="24"/>
              </w:rPr>
            </w:pPr>
            <w:r>
              <w:rPr>
                <w:rFonts w:hint="eastAsia" w:ascii="宋体" w:hAnsi="宋体" w:cs="宋体"/>
                <w:sz w:val="24"/>
              </w:rPr>
              <w:t>额定功率（KW）</w:t>
            </w:r>
          </w:p>
        </w:tc>
        <w:tc>
          <w:tcPr>
            <w:tcW w:w="800" w:type="dxa"/>
            <w:vAlign w:val="center"/>
          </w:tcPr>
          <w:p>
            <w:pPr>
              <w:spacing w:line="360" w:lineRule="auto"/>
              <w:jc w:val="center"/>
              <w:rPr>
                <w:rFonts w:ascii="宋体" w:hAnsi="宋体" w:cs="宋体"/>
                <w:sz w:val="24"/>
              </w:rPr>
            </w:pPr>
            <w:r>
              <w:rPr>
                <w:rFonts w:hint="eastAsia" w:ascii="宋体" w:hAnsi="宋体" w:cs="宋体"/>
                <w:sz w:val="24"/>
              </w:rPr>
              <w:t>生产能力</w:t>
            </w:r>
          </w:p>
        </w:tc>
        <w:tc>
          <w:tcPr>
            <w:tcW w:w="1000" w:type="dxa"/>
            <w:tcBorders>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用于施工部位</w:t>
            </w:r>
          </w:p>
        </w:tc>
        <w:tc>
          <w:tcPr>
            <w:tcW w:w="945" w:type="dxa"/>
            <w:tcBorders>
              <w:lef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trPr>
        <w:tc>
          <w:tcPr>
            <w:tcW w:w="600" w:type="dxa"/>
          </w:tcPr>
          <w:p>
            <w:pPr>
              <w:spacing w:line="360" w:lineRule="auto"/>
              <w:rPr>
                <w:rFonts w:ascii="宋体" w:hAnsi="宋体" w:cs="宋体"/>
                <w:sz w:val="24"/>
              </w:rPr>
            </w:pPr>
          </w:p>
        </w:tc>
        <w:tc>
          <w:tcPr>
            <w:tcW w:w="1300" w:type="dxa"/>
          </w:tcPr>
          <w:p>
            <w:pPr>
              <w:spacing w:line="360" w:lineRule="auto"/>
              <w:rPr>
                <w:rFonts w:ascii="宋体" w:hAnsi="宋体" w:cs="宋体"/>
                <w:sz w:val="24"/>
              </w:rPr>
            </w:pPr>
          </w:p>
        </w:tc>
        <w:tc>
          <w:tcPr>
            <w:tcW w:w="979" w:type="dxa"/>
          </w:tcPr>
          <w:p>
            <w:pPr>
              <w:spacing w:line="360" w:lineRule="auto"/>
              <w:rPr>
                <w:rFonts w:ascii="宋体" w:hAnsi="宋体" w:cs="宋体"/>
                <w:sz w:val="24"/>
              </w:rPr>
            </w:pPr>
          </w:p>
        </w:tc>
        <w:tc>
          <w:tcPr>
            <w:tcW w:w="720" w:type="dxa"/>
          </w:tcPr>
          <w:p>
            <w:pPr>
              <w:spacing w:line="360" w:lineRule="auto"/>
              <w:rPr>
                <w:rFonts w:ascii="宋体" w:hAnsi="宋体" w:cs="宋体"/>
                <w:sz w:val="24"/>
              </w:rPr>
            </w:pPr>
          </w:p>
        </w:tc>
        <w:tc>
          <w:tcPr>
            <w:tcW w:w="801"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1100" w:type="dxa"/>
          </w:tcPr>
          <w:p>
            <w:pPr>
              <w:spacing w:line="360" w:lineRule="auto"/>
              <w:rPr>
                <w:rFonts w:ascii="宋体" w:hAnsi="宋体" w:cs="宋体"/>
                <w:sz w:val="24"/>
              </w:rPr>
            </w:pPr>
          </w:p>
        </w:tc>
        <w:tc>
          <w:tcPr>
            <w:tcW w:w="800" w:type="dxa"/>
          </w:tcPr>
          <w:p>
            <w:pPr>
              <w:spacing w:line="360" w:lineRule="auto"/>
              <w:rPr>
                <w:rFonts w:ascii="宋体" w:hAnsi="宋体" w:cs="宋体"/>
                <w:sz w:val="24"/>
              </w:rPr>
            </w:pPr>
          </w:p>
        </w:tc>
        <w:tc>
          <w:tcPr>
            <w:tcW w:w="1000" w:type="dxa"/>
            <w:tcBorders>
              <w:right w:val="single" w:color="auto" w:sz="4" w:space="0"/>
            </w:tcBorders>
          </w:tcPr>
          <w:p>
            <w:pPr>
              <w:spacing w:line="360" w:lineRule="auto"/>
              <w:rPr>
                <w:rFonts w:ascii="宋体" w:hAnsi="宋体" w:cs="宋体"/>
                <w:sz w:val="24"/>
              </w:rPr>
            </w:pPr>
          </w:p>
        </w:tc>
        <w:tc>
          <w:tcPr>
            <w:tcW w:w="945" w:type="dxa"/>
            <w:tcBorders>
              <w:left w:val="single" w:color="auto" w:sz="4" w:space="0"/>
            </w:tcBorders>
          </w:tcPr>
          <w:p>
            <w:pPr>
              <w:spacing w:line="360" w:lineRule="auto"/>
              <w:rPr>
                <w:rFonts w:ascii="宋体" w:hAnsi="宋体" w:cs="宋体"/>
                <w:sz w:val="24"/>
              </w:rPr>
            </w:pPr>
          </w:p>
        </w:tc>
      </w:tr>
    </w:tbl>
    <w:p>
      <w:pPr>
        <w:pStyle w:val="21"/>
        <w:spacing w:line="360" w:lineRule="auto"/>
        <w:rPr>
          <w:rFonts w:ascii="宋体" w:hAnsi="宋体" w:cs="宋体"/>
          <w:sz w:val="24"/>
        </w:rPr>
      </w:pPr>
    </w:p>
    <w:p>
      <w:pPr>
        <w:spacing w:line="360" w:lineRule="auto"/>
        <w:jc w:val="center"/>
        <w:rPr>
          <w:rFonts w:ascii="宋体" w:hAnsi="宋体" w:cs="宋体"/>
          <w:sz w:val="24"/>
        </w:rPr>
      </w:pPr>
      <w:r>
        <w:rPr>
          <w:rFonts w:hint="eastAsia" w:ascii="宋体" w:hAnsi="宋体" w:cs="宋体"/>
          <w:sz w:val="24"/>
        </w:rPr>
        <w:br w:type="page"/>
      </w:r>
    </w:p>
    <w:p>
      <w:pPr>
        <w:spacing w:line="360" w:lineRule="auto"/>
        <w:jc w:val="center"/>
        <w:rPr>
          <w:rFonts w:ascii="宋体" w:hAnsi="宋体" w:cs="宋体"/>
          <w:b/>
          <w:sz w:val="28"/>
          <w:szCs w:val="28"/>
        </w:rPr>
      </w:pPr>
      <w:r>
        <w:rPr>
          <w:rFonts w:hint="eastAsia" w:ascii="宋体" w:hAnsi="宋体" w:cs="宋体"/>
          <w:b/>
          <w:sz w:val="28"/>
          <w:szCs w:val="28"/>
        </w:rPr>
        <w:t>表 2              劳动力计划表               单位：（人）</w:t>
      </w:r>
    </w:p>
    <w:tbl>
      <w:tblPr>
        <w:tblStyle w:val="60"/>
        <w:tblW w:w="93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80"/>
        <w:gridCol w:w="1080"/>
        <w:gridCol w:w="1080"/>
        <w:gridCol w:w="1080"/>
        <w:gridCol w:w="1260"/>
        <w:gridCol w:w="126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0" w:hRule="atLeast"/>
        </w:trPr>
        <w:tc>
          <w:tcPr>
            <w:tcW w:w="900" w:type="dxa"/>
            <w:vMerge w:val="restart"/>
            <w:vAlign w:val="center"/>
          </w:tcPr>
          <w:p>
            <w:pPr>
              <w:spacing w:line="360" w:lineRule="auto"/>
              <w:jc w:val="center"/>
              <w:rPr>
                <w:rFonts w:ascii="宋体" w:hAnsi="宋体" w:cs="宋体"/>
                <w:sz w:val="24"/>
              </w:rPr>
            </w:pPr>
            <w:r>
              <w:rPr>
                <w:rFonts w:hint="eastAsia" w:ascii="宋体" w:hAnsi="宋体" w:cs="宋体"/>
                <w:sz w:val="24"/>
              </w:rPr>
              <w:t>工种</w:t>
            </w:r>
          </w:p>
        </w:tc>
        <w:tc>
          <w:tcPr>
            <w:tcW w:w="8400" w:type="dxa"/>
            <w:gridSpan w:val="7"/>
            <w:vAlign w:val="center"/>
          </w:tcPr>
          <w:p>
            <w:pPr>
              <w:spacing w:line="360" w:lineRule="auto"/>
              <w:jc w:val="center"/>
              <w:rPr>
                <w:rFonts w:ascii="宋体" w:hAnsi="宋体" w:cs="宋体"/>
                <w:sz w:val="24"/>
              </w:rPr>
            </w:pPr>
            <w:r>
              <w:rPr>
                <w:rFonts w:hint="eastAsia" w:ascii="宋体" w:hAnsi="宋体" w:cs="宋体"/>
                <w:sz w:val="24"/>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trPr>
        <w:tc>
          <w:tcPr>
            <w:tcW w:w="900" w:type="dxa"/>
            <w:vMerge w:val="continue"/>
            <w:vAlign w:val="center"/>
          </w:tcPr>
          <w:p>
            <w:pPr>
              <w:spacing w:line="360" w:lineRule="auto"/>
              <w:jc w:val="center"/>
              <w:rPr>
                <w:rFonts w:ascii="宋体" w:hAnsi="宋体" w:cs="宋体"/>
                <w:sz w:val="24"/>
              </w:rPr>
            </w:pPr>
          </w:p>
        </w:tc>
        <w:tc>
          <w:tcPr>
            <w:tcW w:w="1080" w:type="dxa"/>
            <w:vAlign w:val="center"/>
          </w:tcPr>
          <w:p>
            <w:pPr>
              <w:spacing w:line="360" w:lineRule="auto"/>
              <w:jc w:val="center"/>
              <w:rPr>
                <w:rFonts w:ascii="宋体" w:hAnsi="宋体" w:cs="宋体"/>
                <w:sz w:val="24"/>
              </w:rPr>
            </w:pPr>
          </w:p>
        </w:tc>
        <w:tc>
          <w:tcPr>
            <w:tcW w:w="1080" w:type="dxa"/>
            <w:vAlign w:val="center"/>
          </w:tcPr>
          <w:p>
            <w:pPr>
              <w:spacing w:line="360" w:lineRule="auto"/>
              <w:jc w:val="center"/>
              <w:rPr>
                <w:rFonts w:ascii="宋体" w:hAnsi="宋体" w:cs="宋体"/>
                <w:sz w:val="24"/>
              </w:rPr>
            </w:pPr>
          </w:p>
        </w:tc>
        <w:tc>
          <w:tcPr>
            <w:tcW w:w="1080" w:type="dxa"/>
            <w:vAlign w:val="center"/>
          </w:tcPr>
          <w:p>
            <w:pPr>
              <w:spacing w:line="360" w:lineRule="auto"/>
              <w:jc w:val="center"/>
              <w:rPr>
                <w:rFonts w:ascii="宋体" w:hAnsi="宋体" w:cs="宋体"/>
                <w:sz w:val="24"/>
              </w:rPr>
            </w:pPr>
          </w:p>
        </w:tc>
        <w:tc>
          <w:tcPr>
            <w:tcW w:w="1080" w:type="dxa"/>
            <w:vAlign w:val="center"/>
          </w:tcPr>
          <w:p>
            <w:pPr>
              <w:spacing w:line="360" w:lineRule="auto"/>
              <w:jc w:val="center"/>
              <w:rPr>
                <w:rFonts w:ascii="宋体" w:hAnsi="宋体" w:cs="宋体"/>
                <w:sz w:val="24"/>
              </w:rPr>
            </w:pPr>
          </w:p>
        </w:tc>
        <w:tc>
          <w:tcPr>
            <w:tcW w:w="1260" w:type="dxa"/>
            <w:vAlign w:val="center"/>
          </w:tcPr>
          <w:p>
            <w:pPr>
              <w:spacing w:line="360" w:lineRule="auto"/>
              <w:jc w:val="center"/>
              <w:rPr>
                <w:rFonts w:ascii="宋体" w:hAnsi="宋体" w:cs="宋体"/>
                <w:sz w:val="24"/>
              </w:rPr>
            </w:pPr>
          </w:p>
        </w:tc>
        <w:tc>
          <w:tcPr>
            <w:tcW w:w="1260" w:type="dxa"/>
            <w:vAlign w:val="center"/>
          </w:tcPr>
          <w:p>
            <w:pPr>
              <w:spacing w:line="360" w:lineRule="auto"/>
              <w:jc w:val="center"/>
              <w:rPr>
                <w:rFonts w:ascii="宋体" w:hAnsi="宋体" w:cs="宋体"/>
                <w:sz w:val="24"/>
              </w:rPr>
            </w:pPr>
          </w:p>
        </w:tc>
        <w:tc>
          <w:tcPr>
            <w:tcW w:w="1560"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pStyle w:val="14"/>
              <w:widowControl/>
              <w:spacing w:line="360" w:lineRule="auto"/>
              <w:rPr>
                <w:rFonts w:ascii="宋体" w:hAnsi="宋体" w:cs="宋体"/>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90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08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260" w:type="dxa"/>
          </w:tcPr>
          <w:p>
            <w:pPr>
              <w:spacing w:line="360" w:lineRule="auto"/>
              <w:rPr>
                <w:rFonts w:ascii="宋体" w:hAnsi="宋体" w:cs="宋体"/>
                <w:sz w:val="24"/>
              </w:rPr>
            </w:pPr>
          </w:p>
        </w:tc>
        <w:tc>
          <w:tcPr>
            <w:tcW w:w="1560" w:type="dxa"/>
          </w:tcPr>
          <w:p>
            <w:pPr>
              <w:spacing w:line="360" w:lineRule="auto"/>
              <w:rPr>
                <w:rFonts w:ascii="宋体" w:hAnsi="宋体" w:cs="宋体"/>
                <w:sz w:val="24"/>
              </w:rPr>
            </w:pPr>
          </w:p>
        </w:tc>
      </w:tr>
    </w:tbl>
    <w:p>
      <w:pPr>
        <w:pStyle w:val="21"/>
        <w:spacing w:before="120" w:line="360" w:lineRule="auto"/>
        <w:rPr>
          <w:rFonts w:ascii="宋体" w:hAnsi="宋体" w:cs="宋体"/>
          <w:snapToGrid w:val="0"/>
          <w:sz w:val="24"/>
        </w:rPr>
      </w:pPr>
      <w:r>
        <w:rPr>
          <w:rFonts w:hint="eastAsia" w:ascii="宋体" w:hAnsi="宋体" w:cs="宋体"/>
          <w:snapToGrid w:val="0"/>
          <w:sz w:val="24"/>
        </w:rPr>
        <w:t>注：1.投标人应按所列格式提交所有的估计劳动力计划表。</w:t>
      </w:r>
    </w:p>
    <w:p>
      <w:pPr>
        <w:tabs>
          <w:tab w:val="left" w:pos="2580"/>
          <w:tab w:val="left" w:pos="5940"/>
        </w:tabs>
        <w:autoSpaceDE w:val="0"/>
        <w:autoSpaceDN w:val="0"/>
        <w:adjustRightInd w:val="0"/>
        <w:snapToGrid w:val="0"/>
        <w:spacing w:line="360" w:lineRule="auto"/>
        <w:ind w:firstLine="484" w:firstLineChars="200"/>
        <w:jc w:val="left"/>
        <w:rPr>
          <w:rFonts w:ascii="宋体" w:hAnsi="宋体" w:cs="宋体"/>
          <w:snapToGrid w:val="0"/>
          <w:sz w:val="24"/>
        </w:rPr>
      </w:pPr>
      <w:r>
        <w:rPr>
          <w:rFonts w:hint="eastAsia" w:ascii="宋体" w:hAnsi="宋体" w:cs="宋体"/>
          <w:snapToGrid w:val="0"/>
          <w:spacing w:val="1"/>
          <w:sz w:val="24"/>
        </w:rPr>
        <w:t>2.本计划表是以每班八小时工作制为基础编制</w:t>
      </w:r>
      <w:r>
        <w:rPr>
          <w:rFonts w:hint="eastAsia" w:ascii="宋体" w:hAnsi="宋体" w:cs="宋体"/>
          <w:snapToGrid w:val="0"/>
          <w:spacing w:val="-7"/>
          <w:sz w:val="24"/>
        </w:rPr>
        <w:t>的</w:t>
      </w:r>
      <w:r>
        <w:rPr>
          <w:rFonts w:hint="eastAsia" w:ascii="宋体" w:hAnsi="宋体" w:cs="宋体"/>
          <w:snapToGrid w:val="0"/>
          <w:sz w:val="24"/>
        </w:rPr>
        <w:t>。</w:t>
      </w:r>
    </w:p>
    <w:p>
      <w:pPr>
        <w:pStyle w:val="21"/>
        <w:spacing w:line="360" w:lineRule="auto"/>
        <w:rPr>
          <w:rFonts w:ascii="宋体" w:hAnsi="宋体" w:cs="宋体"/>
          <w:sz w:val="24"/>
        </w:rPr>
      </w:pPr>
    </w:p>
    <w:p>
      <w:pPr>
        <w:spacing w:line="360" w:lineRule="auto"/>
        <w:jc w:val="center"/>
        <w:rPr>
          <w:rFonts w:ascii="宋体" w:hAnsi="宋体" w:cs="宋体"/>
          <w:sz w:val="24"/>
        </w:rPr>
      </w:pPr>
      <w:r>
        <w:rPr>
          <w:rFonts w:hint="eastAsia" w:ascii="宋体" w:hAnsi="宋体" w:cs="宋体"/>
          <w:sz w:val="24"/>
        </w:rPr>
        <w:br w:type="page"/>
      </w:r>
    </w:p>
    <w:p>
      <w:pPr>
        <w:spacing w:line="360" w:lineRule="auto"/>
        <w:jc w:val="center"/>
        <w:rPr>
          <w:rFonts w:ascii="宋体" w:hAnsi="宋体" w:cs="宋体"/>
          <w:b/>
          <w:sz w:val="28"/>
          <w:szCs w:val="28"/>
        </w:rPr>
      </w:pPr>
      <w:r>
        <w:rPr>
          <w:rFonts w:hint="eastAsia" w:ascii="宋体" w:hAnsi="宋体" w:cs="宋体"/>
          <w:b/>
          <w:sz w:val="28"/>
          <w:szCs w:val="28"/>
        </w:rPr>
        <w:t>表3   计划开、竣工日期和加工进度网络</w:t>
      </w:r>
    </w:p>
    <w:p>
      <w:pPr>
        <w:spacing w:line="360" w:lineRule="auto"/>
        <w:ind w:left="-6" w:firstLine="6"/>
        <w:rPr>
          <w:rFonts w:ascii="宋体" w:hAnsi="宋体" w:cs="宋体"/>
          <w:sz w:val="24"/>
        </w:rPr>
      </w:pPr>
      <w:r>
        <w:rPr>
          <w:rFonts w:hint="eastAsia" w:ascii="宋体" w:hAnsi="宋体" w:cs="宋体"/>
          <w:sz w:val="24"/>
        </w:rPr>
        <w:t>1）投标人应提交施工进度网络图或施工进度表，说明按招标文件要求的工期进行施工的各个关键日期。中标的投标人还应按合同条件有关条款的要求提交详细的施工进度计划。</w:t>
      </w:r>
    </w:p>
    <w:p>
      <w:pPr>
        <w:spacing w:line="360" w:lineRule="auto"/>
        <w:ind w:left="-6" w:firstLine="6"/>
        <w:rPr>
          <w:rFonts w:ascii="宋体" w:hAnsi="宋体" w:cs="宋体"/>
          <w:sz w:val="24"/>
        </w:rPr>
      </w:pPr>
      <w:r>
        <w:rPr>
          <w:rFonts w:hint="eastAsia" w:ascii="宋体" w:hAnsi="宋体" w:cs="宋体"/>
          <w:sz w:val="24"/>
        </w:rPr>
        <w:t>2）施工进度表可采用网络图（或横道图）表示，说明计划开工日期和各阶段的完工日期。暂定中标通知书下发日期为年月日，根据中标通知书下发日期编写施工进度表。</w:t>
      </w:r>
    </w:p>
    <w:p>
      <w:pPr>
        <w:spacing w:line="360" w:lineRule="auto"/>
        <w:rPr>
          <w:rFonts w:ascii="宋体" w:hAnsi="宋体" w:cs="宋体"/>
          <w:kern w:val="0"/>
          <w:sz w:val="24"/>
          <w:szCs w:val="21"/>
        </w:rPr>
      </w:pPr>
      <w:r>
        <w:rPr>
          <w:rFonts w:hint="eastAsia" w:ascii="宋体" w:hAnsi="宋体" w:cs="宋体"/>
          <w:sz w:val="24"/>
        </w:rPr>
        <w:t>3）施工进度计划应与</w:t>
      </w:r>
      <w:r>
        <w:rPr>
          <w:rFonts w:hint="eastAsia" w:ascii="宋体" w:hAnsi="宋体" w:cs="宋体"/>
          <w:kern w:val="0"/>
          <w:sz w:val="24"/>
        </w:rPr>
        <w:t>劳务实施方案</w:t>
      </w:r>
      <w:r>
        <w:rPr>
          <w:rFonts w:hint="eastAsia" w:ascii="宋体" w:hAnsi="宋体" w:cs="宋体"/>
          <w:sz w:val="24"/>
        </w:rPr>
        <w:t>相适应。</w:t>
      </w:r>
    </w:p>
    <w:p>
      <w:pPr>
        <w:spacing w:line="360" w:lineRule="auto"/>
        <w:rPr>
          <w:rFonts w:ascii="宋体" w:hAnsi="宋体" w:cs="宋体"/>
          <w:kern w:val="0"/>
          <w:sz w:val="24"/>
          <w:szCs w:val="21"/>
        </w:rPr>
        <w:sectPr>
          <w:pgSz w:w="11906" w:h="16838"/>
          <w:pgMar w:top="1418" w:right="1361" w:bottom="1418" w:left="1418" w:header="851" w:footer="992" w:gutter="0"/>
          <w:cols w:space="720" w:num="1"/>
          <w:docGrid w:linePitch="312" w:charSpace="0"/>
        </w:sectPr>
      </w:pPr>
    </w:p>
    <w:p>
      <w:pPr>
        <w:autoSpaceDE w:val="0"/>
        <w:autoSpaceDN w:val="0"/>
        <w:adjustRightInd w:val="0"/>
        <w:snapToGrid w:val="0"/>
        <w:spacing w:line="360" w:lineRule="auto"/>
        <w:rPr>
          <w:rFonts w:ascii="宋体" w:hAnsi="宋体" w:cs="宋体"/>
          <w:sz w:val="24"/>
        </w:rPr>
      </w:pPr>
    </w:p>
    <w:p>
      <w:pPr>
        <w:rPr>
          <w:rFonts w:ascii="宋体" w:hAnsi="宋体" w:cs="宋体"/>
          <w:sz w:val="24"/>
        </w:rPr>
      </w:pPr>
      <w:r>
        <w:rPr>
          <w:rFonts w:hint="eastAsia" w:ascii="宋体" w:hAnsi="宋体" w:cs="宋体"/>
          <w:b/>
          <w:sz w:val="24"/>
        </w:rPr>
        <w:t>3、技术规格偏离表</w:t>
      </w:r>
    </w:p>
    <w:p>
      <w:pPr>
        <w:jc w:val="center"/>
        <w:rPr>
          <w:rFonts w:ascii="宋体" w:hAnsi="宋体" w:cs="宋体"/>
          <w:b/>
          <w:sz w:val="24"/>
        </w:rPr>
      </w:pPr>
    </w:p>
    <w:p>
      <w:pPr>
        <w:jc w:val="center"/>
        <w:rPr>
          <w:rFonts w:ascii="宋体" w:hAnsi="宋体" w:cs="宋体"/>
          <w:b/>
          <w:sz w:val="24"/>
        </w:rPr>
      </w:pPr>
      <w:r>
        <w:rPr>
          <w:rFonts w:hint="eastAsia" w:ascii="宋体" w:hAnsi="宋体" w:cs="宋体"/>
          <w:b/>
          <w:sz w:val="24"/>
        </w:rPr>
        <w:t>技术规格偏离表</w:t>
      </w:r>
    </w:p>
    <w:p>
      <w:pPr>
        <w:ind w:firstLine="360" w:firstLineChars="150"/>
        <w:rPr>
          <w:rFonts w:ascii="宋体" w:hAnsi="宋体" w:cs="宋体"/>
          <w:sz w:val="24"/>
        </w:rPr>
      </w:pPr>
    </w:p>
    <w:p>
      <w:pPr>
        <w:ind w:firstLine="360" w:firstLineChars="150"/>
        <w:rPr>
          <w:rFonts w:ascii="宋体" w:hAnsi="宋体" w:cs="宋体"/>
          <w:sz w:val="24"/>
        </w:rPr>
      </w:pPr>
      <w:r>
        <w:rPr>
          <w:rFonts w:hint="eastAsia" w:ascii="宋体" w:hAnsi="宋体" w:cs="宋体"/>
          <w:sz w:val="24"/>
        </w:rPr>
        <w:t xml:space="preserve">项目名称：                   招标项目编号：        </w:t>
      </w:r>
    </w:p>
    <w:tbl>
      <w:tblPr>
        <w:tblStyle w:val="60"/>
        <w:tblW w:w="93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0"/>
        <w:gridCol w:w="2033"/>
        <w:gridCol w:w="1448"/>
        <w:gridCol w:w="1448"/>
        <w:gridCol w:w="1448"/>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8" w:hRule="atLeast"/>
          <w:jc w:val="center"/>
        </w:trPr>
        <w:tc>
          <w:tcPr>
            <w:tcW w:w="1520" w:type="dxa"/>
            <w:vAlign w:val="center"/>
          </w:tcPr>
          <w:p>
            <w:pPr>
              <w:rPr>
                <w:rFonts w:ascii="宋体" w:hAnsi="宋体" w:cs="宋体"/>
                <w:sz w:val="24"/>
              </w:rPr>
            </w:pPr>
            <w:r>
              <w:rPr>
                <w:rFonts w:hint="eastAsia" w:ascii="宋体" w:hAnsi="宋体" w:cs="宋体"/>
                <w:sz w:val="24"/>
              </w:rPr>
              <w:t>序号</w:t>
            </w:r>
          </w:p>
        </w:tc>
        <w:tc>
          <w:tcPr>
            <w:tcW w:w="2033" w:type="dxa"/>
            <w:vAlign w:val="center"/>
          </w:tcPr>
          <w:p>
            <w:pPr>
              <w:rPr>
                <w:rFonts w:ascii="宋体" w:hAnsi="宋体" w:cs="宋体"/>
                <w:sz w:val="24"/>
              </w:rPr>
            </w:pPr>
            <w:r>
              <w:rPr>
                <w:rFonts w:hint="eastAsia" w:ascii="宋体" w:hAnsi="宋体" w:cs="宋体"/>
                <w:sz w:val="24"/>
              </w:rPr>
              <w:t>招标名称</w:t>
            </w:r>
          </w:p>
        </w:tc>
        <w:tc>
          <w:tcPr>
            <w:tcW w:w="1448" w:type="dxa"/>
            <w:vAlign w:val="center"/>
          </w:tcPr>
          <w:p>
            <w:pPr>
              <w:rPr>
                <w:rFonts w:ascii="宋体" w:hAnsi="宋体" w:cs="宋体"/>
                <w:sz w:val="24"/>
              </w:rPr>
            </w:pPr>
            <w:r>
              <w:rPr>
                <w:rFonts w:hint="eastAsia" w:ascii="宋体" w:hAnsi="宋体" w:cs="宋体"/>
                <w:sz w:val="24"/>
              </w:rPr>
              <w:t>招标</w:t>
            </w:r>
          </w:p>
          <w:p>
            <w:pPr>
              <w:rPr>
                <w:rFonts w:ascii="宋体" w:hAnsi="宋体" w:cs="宋体"/>
                <w:sz w:val="24"/>
              </w:rPr>
            </w:pPr>
            <w:r>
              <w:rPr>
                <w:rFonts w:hint="eastAsia" w:ascii="宋体" w:hAnsi="宋体" w:cs="宋体"/>
                <w:sz w:val="24"/>
              </w:rPr>
              <w:t>技术</w:t>
            </w:r>
          </w:p>
        </w:tc>
        <w:tc>
          <w:tcPr>
            <w:tcW w:w="1448" w:type="dxa"/>
            <w:vAlign w:val="center"/>
          </w:tcPr>
          <w:p>
            <w:pPr>
              <w:rPr>
                <w:rFonts w:ascii="宋体" w:hAnsi="宋体" w:cs="宋体"/>
                <w:sz w:val="24"/>
              </w:rPr>
            </w:pPr>
            <w:r>
              <w:rPr>
                <w:rFonts w:hint="eastAsia" w:ascii="宋体" w:hAnsi="宋体" w:cs="宋体"/>
                <w:sz w:val="24"/>
              </w:rPr>
              <w:t>投标</w:t>
            </w:r>
          </w:p>
          <w:p>
            <w:pPr>
              <w:rPr>
                <w:rFonts w:ascii="宋体" w:hAnsi="宋体" w:cs="宋体"/>
                <w:sz w:val="24"/>
              </w:rPr>
            </w:pPr>
            <w:r>
              <w:rPr>
                <w:rFonts w:hint="eastAsia" w:ascii="宋体" w:hAnsi="宋体" w:cs="宋体"/>
                <w:sz w:val="24"/>
              </w:rPr>
              <w:t>技术</w:t>
            </w:r>
          </w:p>
        </w:tc>
        <w:tc>
          <w:tcPr>
            <w:tcW w:w="1448" w:type="dxa"/>
            <w:vAlign w:val="center"/>
          </w:tcPr>
          <w:p>
            <w:pPr>
              <w:rPr>
                <w:rFonts w:ascii="宋体" w:hAnsi="宋体" w:cs="宋体"/>
                <w:sz w:val="24"/>
              </w:rPr>
            </w:pPr>
            <w:r>
              <w:rPr>
                <w:rFonts w:hint="eastAsia" w:ascii="宋体" w:hAnsi="宋体" w:cs="宋体"/>
                <w:sz w:val="24"/>
              </w:rPr>
              <w:t>偏离</w:t>
            </w:r>
          </w:p>
        </w:tc>
        <w:tc>
          <w:tcPr>
            <w:tcW w:w="1446" w:type="dxa"/>
            <w:vAlign w:val="center"/>
          </w:tcPr>
          <w:p>
            <w:pPr>
              <w:rPr>
                <w:rFonts w:ascii="宋体" w:hAnsi="宋体" w:cs="宋体"/>
                <w:sz w:val="24"/>
              </w:rPr>
            </w:pPr>
            <w:r>
              <w:rPr>
                <w:rFonts w:hint="eastAsia" w:ascii="宋体" w:hAnsi="宋体" w:cs="宋体"/>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jc w:val="center"/>
        </w:trPr>
        <w:tc>
          <w:tcPr>
            <w:tcW w:w="1520" w:type="dxa"/>
            <w:vAlign w:val="center"/>
          </w:tcPr>
          <w:p>
            <w:pPr>
              <w:rPr>
                <w:rFonts w:ascii="宋体" w:hAnsi="宋体" w:cs="宋体"/>
                <w:sz w:val="24"/>
              </w:rPr>
            </w:pPr>
          </w:p>
        </w:tc>
        <w:tc>
          <w:tcPr>
            <w:tcW w:w="2033"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6"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jc w:val="center"/>
        </w:trPr>
        <w:tc>
          <w:tcPr>
            <w:tcW w:w="1520" w:type="dxa"/>
            <w:vAlign w:val="center"/>
          </w:tcPr>
          <w:p>
            <w:pPr>
              <w:rPr>
                <w:rFonts w:ascii="宋体" w:hAnsi="宋体" w:cs="宋体"/>
                <w:sz w:val="24"/>
              </w:rPr>
            </w:pPr>
          </w:p>
        </w:tc>
        <w:tc>
          <w:tcPr>
            <w:tcW w:w="2033"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6"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jc w:val="center"/>
        </w:trPr>
        <w:tc>
          <w:tcPr>
            <w:tcW w:w="1520" w:type="dxa"/>
            <w:vAlign w:val="center"/>
          </w:tcPr>
          <w:p>
            <w:pPr>
              <w:rPr>
                <w:rFonts w:ascii="宋体" w:hAnsi="宋体" w:cs="宋体"/>
                <w:sz w:val="24"/>
              </w:rPr>
            </w:pPr>
          </w:p>
        </w:tc>
        <w:tc>
          <w:tcPr>
            <w:tcW w:w="2033"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8" w:type="dxa"/>
            <w:vAlign w:val="center"/>
          </w:tcPr>
          <w:p>
            <w:pPr>
              <w:rPr>
                <w:rFonts w:ascii="宋体" w:hAnsi="宋体" w:cs="宋体"/>
                <w:sz w:val="24"/>
              </w:rPr>
            </w:pPr>
          </w:p>
        </w:tc>
        <w:tc>
          <w:tcPr>
            <w:tcW w:w="1446" w:type="dxa"/>
            <w:vAlign w:val="center"/>
          </w:tcPr>
          <w:p>
            <w:pPr>
              <w:rPr>
                <w:rFonts w:ascii="宋体" w:hAnsi="宋体" w:cs="宋体"/>
                <w:sz w:val="24"/>
              </w:rPr>
            </w:pPr>
          </w:p>
        </w:tc>
      </w:tr>
    </w:tbl>
    <w:p>
      <w:pPr>
        <w:rPr>
          <w:rFonts w:ascii="宋体" w:hAnsi="宋体" w:cs="宋体"/>
          <w:sz w:val="24"/>
        </w:rPr>
      </w:pPr>
      <w:bookmarkStart w:id="763" w:name="_Toc371091866"/>
      <w:bookmarkStart w:id="764" w:name="_Toc364955824"/>
    </w:p>
    <w:p>
      <w:pPr>
        <w:rPr>
          <w:rFonts w:ascii="宋体" w:hAnsi="宋体" w:cs="宋体"/>
          <w:sz w:val="24"/>
        </w:rPr>
      </w:pPr>
    </w:p>
    <w:p>
      <w:pPr>
        <w:ind w:firstLine="480" w:firstLineChars="200"/>
        <w:jc w:val="left"/>
        <w:rPr>
          <w:rFonts w:ascii="宋体" w:hAnsi="宋体" w:cs="宋体"/>
          <w:sz w:val="24"/>
        </w:rPr>
      </w:pPr>
      <w:r>
        <w:rPr>
          <w:rFonts w:hint="eastAsia" w:ascii="宋体" w:hAnsi="宋体" w:cs="宋体"/>
          <w:sz w:val="24"/>
        </w:rPr>
        <w:t>投标单位全称</w:t>
      </w:r>
      <w:bookmarkEnd w:id="763"/>
      <w:bookmarkEnd w:id="764"/>
      <w:r>
        <w:rPr>
          <w:rFonts w:hint="eastAsia" w:ascii="宋体" w:hAnsi="宋体" w:cs="宋体"/>
          <w:sz w:val="24"/>
        </w:rPr>
        <w:t>（盖章）：</w:t>
      </w:r>
    </w:p>
    <w:p>
      <w:pPr>
        <w:ind w:firstLine="480" w:firstLineChars="200"/>
        <w:jc w:val="left"/>
        <w:rPr>
          <w:rFonts w:ascii="宋体" w:hAnsi="宋体" w:cs="宋体"/>
          <w:sz w:val="24"/>
        </w:rPr>
      </w:pPr>
      <w:r>
        <w:rPr>
          <w:rFonts w:hint="eastAsia" w:ascii="宋体" w:hAnsi="宋体" w:cs="宋体"/>
          <w:sz w:val="24"/>
        </w:rPr>
        <w:t>日期：</w:t>
      </w:r>
    </w:p>
    <w:p>
      <w:pPr>
        <w:jc w:val="left"/>
        <w:rPr>
          <w:rFonts w:ascii="宋体" w:hAnsi="宋体" w:cs="宋体"/>
          <w:b/>
          <w:bCs/>
          <w:sz w:val="24"/>
        </w:rPr>
      </w:pPr>
    </w:p>
    <w:p>
      <w:pPr>
        <w:spacing w:line="360" w:lineRule="auto"/>
        <w:jc w:val="center"/>
        <w:rPr>
          <w:rFonts w:ascii="宋体" w:hAnsi="宋体" w:cs="宋体"/>
          <w:kern w:val="0"/>
          <w:sz w:val="24"/>
          <w:szCs w:val="21"/>
        </w:rPr>
        <w:sectPr>
          <w:pgSz w:w="11906" w:h="16838"/>
          <w:pgMar w:top="1418" w:right="1361" w:bottom="1418" w:left="1418" w:header="851" w:footer="992" w:gutter="0"/>
          <w:cols w:space="720" w:num="1"/>
          <w:docGrid w:linePitch="312" w:charSpace="0"/>
        </w:sectPr>
      </w:pPr>
    </w:p>
    <w:p>
      <w:pPr>
        <w:tabs>
          <w:tab w:val="left" w:pos="2980"/>
          <w:tab w:val="left" w:pos="5940"/>
        </w:tabs>
        <w:autoSpaceDE w:val="0"/>
        <w:autoSpaceDN w:val="0"/>
        <w:adjustRightInd w:val="0"/>
        <w:snapToGrid w:val="0"/>
        <w:spacing w:line="360" w:lineRule="auto"/>
        <w:rPr>
          <w:rFonts w:ascii="宋体" w:hAnsi="宋体" w:cs="宋体"/>
          <w:b/>
          <w:sz w:val="32"/>
          <w:szCs w:val="32"/>
        </w:rPr>
      </w:pPr>
    </w:p>
    <w:p>
      <w:pPr>
        <w:tabs>
          <w:tab w:val="left" w:pos="2980"/>
          <w:tab w:val="left" w:pos="5940"/>
        </w:tabs>
        <w:autoSpaceDE w:val="0"/>
        <w:autoSpaceDN w:val="0"/>
        <w:adjustRightInd w:val="0"/>
        <w:snapToGrid w:val="0"/>
        <w:spacing w:line="360" w:lineRule="auto"/>
        <w:jc w:val="center"/>
        <w:rPr>
          <w:rFonts w:ascii="宋体" w:hAnsi="宋体" w:cs="宋体"/>
          <w:b/>
          <w:sz w:val="44"/>
          <w:szCs w:val="32"/>
        </w:rPr>
      </w:pPr>
      <w:r>
        <w:rPr>
          <w:rFonts w:hint="eastAsia" w:ascii="宋体" w:hAnsi="宋体" w:cs="宋体"/>
          <w:b/>
          <w:sz w:val="44"/>
          <w:szCs w:val="32"/>
        </w:rPr>
        <w:t>西彭组团D63、D64地块厂房项目</w:t>
      </w:r>
    </w:p>
    <w:p>
      <w:pPr>
        <w:tabs>
          <w:tab w:val="left" w:pos="2980"/>
          <w:tab w:val="left" w:pos="5940"/>
        </w:tabs>
        <w:autoSpaceDE w:val="0"/>
        <w:autoSpaceDN w:val="0"/>
        <w:adjustRightInd w:val="0"/>
        <w:snapToGrid w:val="0"/>
        <w:spacing w:line="360" w:lineRule="auto"/>
        <w:jc w:val="center"/>
        <w:rPr>
          <w:rFonts w:ascii="宋体" w:hAnsi="宋体" w:cs="宋体"/>
          <w:b/>
          <w:sz w:val="44"/>
          <w:szCs w:val="32"/>
        </w:rPr>
      </w:pPr>
      <w:r>
        <w:rPr>
          <w:rFonts w:hint="eastAsia" w:ascii="宋体" w:hAnsi="宋体" w:cs="宋体"/>
          <w:b/>
          <w:sz w:val="44"/>
          <w:szCs w:val="32"/>
        </w:rPr>
        <w:t>钢结构工程专业分包</w:t>
      </w: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left"/>
        <w:rPr>
          <w:rFonts w:ascii="宋体" w:hAnsi="宋体" w:cs="宋体"/>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宋体"/>
          <w:b/>
          <w:kern w:val="0"/>
          <w:sz w:val="56"/>
          <w:szCs w:val="84"/>
        </w:rPr>
      </w:pPr>
      <w:r>
        <w:rPr>
          <w:rFonts w:hint="eastAsia" w:ascii="宋体" w:hAnsi="宋体" w:cs="宋体"/>
          <w:b/>
          <w:kern w:val="0"/>
          <w:sz w:val="56"/>
          <w:szCs w:val="84"/>
        </w:rPr>
        <w:t>投标文件</w:t>
      </w:r>
    </w:p>
    <w:p>
      <w:pPr>
        <w:autoSpaceDE w:val="0"/>
        <w:autoSpaceDN w:val="0"/>
        <w:adjustRightInd w:val="0"/>
        <w:snapToGrid w:val="0"/>
        <w:spacing w:line="360" w:lineRule="auto"/>
        <w:jc w:val="center"/>
        <w:rPr>
          <w:rFonts w:ascii="宋体" w:hAnsi="宋体" w:cs="宋体"/>
          <w:kern w:val="0"/>
          <w:sz w:val="16"/>
          <w:szCs w:val="16"/>
        </w:rPr>
      </w:pPr>
    </w:p>
    <w:p>
      <w:pPr>
        <w:autoSpaceDE w:val="0"/>
        <w:autoSpaceDN w:val="0"/>
        <w:adjustRightInd w:val="0"/>
        <w:snapToGrid w:val="0"/>
        <w:spacing w:line="360" w:lineRule="auto"/>
        <w:jc w:val="center"/>
        <w:rPr>
          <w:rFonts w:ascii="宋体" w:hAnsi="宋体" w:cs="宋体"/>
          <w:b/>
          <w:kern w:val="0"/>
          <w:sz w:val="36"/>
          <w:szCs w:val="36"/>
        </w:rPr>
      </w:pPr>
      <w:r>
        <w:rPr>
          <w:rFonts w:hint="eastAsia" w:ascii="宋体" w:hAnsi="宋体" w:cs="宋体"/>
          <w:b/>
          <w:kern w:val="0"/>
          <w:sz w:val="36"/>
          <w:szCs w:val="36"/>
        </w:rPr>
        <w:t>商务部分</w:t>
      </w:r>
    </w:p>
    <w:p>
      <w:pPr>
        <w:autoSpaceDE w:val="0"/>
        <w:autoSpaceDN w:val="0"/>
        <w:adjustRightInd w:val="0"/>
        <w:snapToGrid w:val="0"/>
        <w:spacing w:line="360" w:lineRule="auto"/>
        <w:jc w:val="left"/>
        <w:rPr>
          <w:rFonts w:ascii="宋体" w:hAnsi="宋体" w:cs="宋体"/>
          <w:kern w:val="0"/>
          <w:sz w:val="20"/>
          <w:szCs w:val="20"/>
        </w:rPr>
      </w:pPr>
    </w:p>
    <w:p>
      <w:pPr>
        <w:adjustRightInd w:val="0"/>
        <w:snapToGrid w:val="0"/>
        <w:spacing w:line="264" w:lineRule="auto"/>
        <w:ind w:firstLine="630" w:firstLineChars="300"/>
        <w:rPr>
          <w:rFonts w:ascii="宋体" w:hAnsi="宋体" w:cs="宋体"/>
          <w:szCs w:val="21"/>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autoSpaceDE w:val="0"/>
        <w:autoSpaceDN w:val="0"/>
        <w:adjustRightInd w:val="0"/>
        <w:snapToGrid w:val="0"/>
        <w:spacing w:line="360" w:lineRule="auto"/>
        <w:jc w:val="left"/>
        <w:rPr>
          <w:rFonts w:ascii="宋体" w:hAnsi="宋体" w:cs="宋体"/>
          <w:kern w:val="0"/>
          <w:sz w:val="20"/>
          <w:szCs w:val="20"/>
        </w:rPr>
      </w:pP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投标人</w:t>
      </w:r>
      <w:r>
        <w:rPr>
          <w:rFonts w:hint="eastAsia" w:ascii="宋体" w:hAnsi="宋体" w:cs="宋体"/>
          <w:b/>
          <w:spacing w:val="1"/>
          <w:kern w:val="0"/>
          <w:sz w:val="28"/>
          <w:szCs w:val="28"/>
        </w:rPr>
        <w:t>：</w:t>
      </w:r>
      <w:r>
        <w:rPr>
          <w:rFonts w:hint="eastAsia" w:ascii="宋体" w:hAnsi="宋体" w:cs="宋体"/>
          <w:b/>
          <w:kern w:val="0"/>
          <w:sz w:val="28"/>
          <w:szCs w:val="28"/>
          <w:u w:val="single"/>
        </w:rPr>
        <w:t>　　　　 　　</w:t>
      </w:r>
      <w:r>
        <w:rPr>
          <w:rFonts w:hint="eastAsia" w:ascii="宋体" w:hAnsi="宋体" w:cs="宋体"/>
          <w:b/>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法定代表人或其委托代理人：</w:t>
      </w:r>
      <w:r>
        <w:rPr>
          <w:rFonts w:hint="eastAsia" w:ascii="宋体" w:hAnsi="宋体" w:cs="宋体"/>
          <w:b/>
          <w:kern w:val="0"/>
          <w:sz w:val="28"/>
          <w:szCs w:val="28"/>
          <w:u w:val="single"/>
        </w:rPr>
        <w:t>　 　　</w:t>
      </w:r>
      <w:r>
        <w:rPr>
          <w:rFonts w:hint="eastAsia" w:ascii="宋体" w:hAnsi="宋体" w:cs="宋体"/>
          <w:b/>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宋体"/>
          <w:b/>
          <w:kern w:val="0"/>
          <w:sz w:val="28"/>
          <w:szCs w:val="28"/>
        </w:rPr>
      </w:pPr>
      <w:r>
        <w:rPr>
          <w:rFonts w:hint="eastAsia" w:ascii="宋体" w:hAnsi="宋体" w:cs="宋体"/>
          <w:b/>
          <w:kern w:val="0"/>
          <w:sz w:val="28"/>
          <w:szCs w:val="28"/>
        </w:rPr>
        <w:t>年月日</w:t>
      </w: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spacing w:line="360" w:lineRule="auto"/>
        <w:jc w:val="center"/>
        <w:rPr>
          <w:rFonts w:ascii="宋体" w:hAnsi="宋体" w:cs="宋体"/>
          <w:kern w:val="0"/>
          <w:sz w:val="24"/>
          <w:szCs w:val="21"/>
        </w:rPr>
      </w:pPr>
    </w:p>
    <w:p>
      <w:pPr>
        <w:rPr>
          <w:rFonts w:ascii="宋体" w:hAnsi="宋体" w:cs="宋体"/>
          <w:sz w:val="24"/>
        </w:rPr>
      </w:pPr>
    </w:p>
    <w:p>
      <w:pPr>
        <w:rPr>
          <w:rFonts w:ascii="宋体" w:hAnsi="宋体" w:cs="宋体"/>
          <w:b/>
          <w:sz w:val="24"/>
        </w:rPr>
      </w:pPr>
      <w:bookmarkStart w:id="765" w:name="_Toc462124251"/>
      <w:r>
        <w:rPr>
          <w:rFonts w:hint="eastAsia" w:ascii="宋体" w:hAnsi="宋体" w:cs="宋体"/>
          <w:b/>
          <w:sz w:val="24"/>
        </w:rPr>
        <w:t>一）投标报价汇总表</w:t>
      </w:r>
      <w:bookmarkEnd w:id="765"/>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jc w:val="left"/>
        <w:rPr>
          <w:rFonts w:ascii="宋体" w:hAnsi="宋体" w:cs="宋体"/>
          <w:sz w:val="24"/>
        </w:rPr>
      </w:pPr>
    </w:p>
    <w:p>
      <w:pPr>
        <w:rPr>
          <w:rFonts w:ascii="宋体" w:hAnsi="宋体" w:cs="宋体"/>
          <w:b/>
          <w:sz w:val="28"/>
        </w:rPr>
      </w:pPr>
      <w:bookmarkStart w:id="766" w:name="_Toc408311743"/>
      <w:bookmarkStart w:id="767" w:name="_Toc462124252"/>
      <w:bookmarkStart w:id="768" w:name="_Toc408317857"/>
      <w:r>
        <w:rPr>
          <w:rFonts w:hint="eastAsia" w:ascii="宋体" w:hAnsi="宋体" w:cs="宋体"/>
          <w:b/>
          <w:sz w:val="28"/>
        </w:rPr>
        <w:t>二）合同清单报价表</w:t>
      </w:r>
      <w:bookmarkEnd w:id="766"/>
      <w:bookmarkEnd w:id="767"/>
      <w:bookmarkEnd w:id="768"/>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pPr>
    </w:p>
    <w:p>
      <w:pPr>
        <w:rPr>
          <w:rFonts w:ascii="宋体" w:hAnsi="宋体" w:cs="宋体"/>
          <w:b/>
          <w:sz w:val="28"/>
        </w:rPr>
        <w:sectPr>
          <w:pgSz w:w="11906" w:h="16838"/>
          <w:pgMar w:top="1418" w:right="1361" w:bottom="1418" w:left="1418" w:header="851" w:footer="992" w:gutter="0"/>
          <w:cols w:space="720" w:num="1"/>
          <w:docGrid w:linePitch="312" w:charSpace="0"/>
        </w:sectPr>
      </w:pPr>
    </w:p>
    <w:p>
      <w:pPr>
        <w:rPr>
          <w:rFonts w:ascii="宋体" w:hAnsi="宋体" w:cs="宋体"/>
          <w:b/>
          <w:sz w:val="28"/>
        </w:rPr>
      </w:pPr>
    </w:p>
    <w:p>
      <w:pPr>
        <w:rPr>
          <w:rFonts w:ascii="宋体" w:hAnsi="宋体" w:cs="宋体"/>
          <w:b/>
          <w:sz w:val="24"/>
        </w:rPr>
      </w:pPr>
      <w:bookmarkStart w:id="769" w:name="_Toc462124253"/>
      <w:bookmarkStart w:id="770" w:name="_Toc408317861"/>
      <w:bookmarkStart w:id="771" w:name="_Toc408311747"/>
      <w:r>
        <w:rPr>
          <w:rFonts w:hint="eastAsia" w:ascii="宋体" w:hAnsi="宋体" w:cs="宋体"/>
          <w:b/>
          <w:sz w:val="24"/>
        </w:rPr>
        <w:t>三）投标与招标商务条款差异表</w:t>
      </w:r>
      <w:bookmarkEnd w:id="769"/>
      <w:bookmarkEnd w:id="770"/>
      <w:bookmarkEnd w:id="771"/>
    </w:p>
    <w:p>
      <w:pPr>
        <w:jc w:val="center"/>
        <w:rPr>
          <w:rFonts w:ascii="宋体" w:hAnsi="宋体" w:cs="宋体"/>
          <w:b/>
          <w:sz w:val="24"/>
        </w:rPr>
      </w:pPr>
    </w:p>
    <w:p>
      <w:pPr>
        <w:jc w:val="center"/>
        <w:rPr>
          <w:rFonts w:ascii="宋体" w:hAnsi="宋体" w:cs="宋体"/>
          <w:b/>
          <w:sz w:val="24"/>
        </w:rPr>
      </w:pPr>
      <w:r>
        <w:rPr>
          <w:rFonts w:hint="eastAsia" w:ascii="宋体" w:hAnsi="宋体" w:cs="宋体"/>
          <w:b/>
          <w:sz w:val="24"/>
        </w:rPr>
        <w:t>投标与招标商务条款差异表</w:t>
      </w:r>
    </w:p>
    <w:p>
      <w:pPr>
        <w:jc w:val="left"/>
        <w:rPr>
          <w:rFonts w:ascii="宋体" w:hAnsi="宋体" w:cs="宋体"/>
          <w:sz w:val="24"/>
        </w:rPr>
      </w:pPr>
    </w:p>
    <w:tbl>
      <w:tblPr>
        <w:tblStyle w:val="60"/>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8"/>
        <w:gridCol w:w="3079"/>
        <w:gridCol w:w="3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078" w:type="dxa"/>
            <w:vAlign w:val="center"/>
          </w:tcPr>
          <w:p>
            <w:pPr>
              <w:pBdr>
                <w:bottom w:val="single" w:color="auto" w:sz="6" w:space="1"/>
              </w:pBdr>
              <w:tabs>
                <w:tab w:val="center" w:pos="4153"/>
                <w:tab w:val="right" w:pos="8306"/>
              </w:tabs>
              <w:snapToGrid w:val="0"/>
              <w:jc w:val="left"/>
              <w:rPr>
                <w:rFonts w:ascii="宋体" w:hAnsi="宋体" w:cs="宋体"/>
                <w:sz w:val="24"/>
              </w:rPr>
            </w:pPr>
            <w:r>
              <w:rPr>
                <w:rFonts w:hint="eastAsia" w:ascii="宋体" w:hAnsi="宋体" w:cs="宋体"/>
                <w:sz w:val="24"/>
              </w:rPr>
              <w:t>招标商务要求</w:t>
            </w:r>
          </w:p>
        </w:tc>
        <w:tc>
          <w:tcPr>
            <w:tcW w:w="3079" w:type="dxa"/>
            <w:vAlign w:val="center"/>
          </w:tcPr>
          <w:p>
            <w:pPr>
              <w:pBdr>
                <w:bottom w:val="single" w:color="auto" w:sz="6" w:space="1"/>
              </w:pBdr>
              <w:tabs>
                <w:tab w:val="center" w:pos="4153"/>
                <w:tab w:val="right" w:pos="8306"/>
              </w:tabs>
              <w:snapToGrid w:val="0"/>
              <w:jc w:val="left"/>
              <w:rPr>
                <w:rFonts w:ascii="宋体" w:hAnsi="宋体" w:cs="宋体"/>
                <w:sz w:val="24"/>
              </w:rPr>
            </w:pPr>
            <w:r>
              <w:rPr>
                <w:rFonts w:hint="eastAsia" w:ascii="宋体" w:hAnsi="宋体" w:cs="宋体"/>
                <w:sz w:val="24"/>
              </w:rPr>
              <w:t>投标商务应答</w:t>
            </w:r>
          </w:p>
        </w:tc>
        <w:tc>
          <w:tcPr>
            <w:tcW w:w="3079" w:type="dxa"/>
            <w:vAlign w:val="center"/>
          </w:tcPr>
          <w:p>
            <w:pPr>
              <w:pBdr>
                <w:bottom w:val="single" w:color="auto" w:sz="6" w:space="1"/>
              </w:pBdr>
              <w:tabs>
                <w:tab w:val="center" w:pos="4153"/>
                <w:tab w:val="right" w:pos="8306"/>
              </w:tabs>
              <w:snapToGrid w:val="0"/>
              <w:jc w:val="left"/>
              <w:rPr>
                <w:rFonts w:ascii="宋体" w:hAnsi="宋体" w:cs="宋体"/>
                <w:sz w:val="24"/>
              </w:rPr>
            </w:pPr>
            <w:r>
              <w:rPr>
                <w:rFonts w:hint="eastAsia" w:ascii="宋体" w:hAnsi="宋体" w:cs="宋体"/>
                <w:sz w:val="24"/>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trPr>
        <w:tc>
          <w:tcPr>
            <w:tcW w:w="3078"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c>
          <w:tcPr>
            <w:tcW w:w="3079" w:type="dxa"/>
          </w:tcPr>
          <w:p>
            <w:pPr>
              <w:pBdr>
                <w:bottom w:val="single" w:color="auto" w:sz="6" w:space="1"/>
              </w:pBdr>
              <w:tabs>
                <w:tab w:val="center" w:pos="4153"/>
                <w:tab w:val="right" w:pos="8306"/>
              </w:tabs>
              <w:snapToGrid w:val="0"/>
              <w:jc w:val="left"/>
              <w:rPr>
                <w:rFonts w:ascii="宋体" w:hAnsi="宋体" w:cs="宋体"/>
                <w:sz w:val="24"/>
              </w:rPr>
            </w:pPr>
          </w:p>
        </w:tc>
      </w:tr>
    </w:tbl>
    <w:p>
      <w:pPr>
        <w:jc w:val="left"/>
        <w:rPr>
          <w:rFonts w:ascii="宋体" w:hAnsi="宋体" w:cs="宋体"/>
          <w:sz w:val="24"/>
        </w:rPr>
      </w:pPr>
    </w:p>
    <w:p>
      <w:pPr>
        <w:jc w:val="left"/>
        <w:rPr>
          <w:rFonts w:ascii="宋体" w:hAnsi="宋体" w:cs="宋体"/>
          <w:sz w:val="24"/>
        </w:rPr>
      </w:pPr>
      <w:r>
        <w:rPr>
          <w:rFonts w:hint="eastAsia" w:ascii="宋体" w:hAnsi="宋体" w:cs="宋体"/>
          <w:sz w:val="24"/>
        </w:rPr>
        <w:t>注：表格不够可以自行加页：请投标人按招标文件内容逐条如实填写完全（未填视为无差异，则完全按招标文件要求），如未填写完全的则按无</w:t>
      </w:r>
      <w:bookmarkStart w:id="772" w:name="_Toc363220105"/>
      <w:bookmarkStart w:id="773" w:name="_Toc363219551"/>
      <w:bookmarkStart w:id="774" w:name="_Toc364955834"/>
      <w:bookmarkStart w:id="775" w:name="_Toc371091876"/>
      <w:r>
        <w:rPr>
          <w:rFonts w:hint="eastAsia" w:ascii="宋体" w:hAnsi="宋体" w:cs="宋体"/>
          <w:sz w:val="24"/>
        </w:rPr>
        <w:t>此配置评标。</w:t>
      </w:r>
    </w:p>
    <w:p>
      <w:pPr>
        <w:jc w:val="left"/>
        <w:rPr>
          <w:rFonts w:ascii="宋体" w:hAnsi="宋体" w:cs="宋体"/>
          <w:sz w:val="24"/>
        </w:rPr>
      </w:pPr>
    </w:p>
    <w:p>
      <w:pPr>
        <w:jc w:val="left"/>
        <w:rPr>
          <w:rFonts w:ascii="宋体" w:hAnsi="宋体" w:cs="宋体"/>
          <w:sz w:val="24"/>
        </w:rPr>
      </w:pPr>
      <w:r>
        <w:rPr>
          <w:rFonts w:hint="eastAsia" w:ascii="宋体" w:hAnsi="宋体" w:cs="宋体"/>
          <w:sz w:val="24"/>
        </w:rPr>
        <w:t>投标人名称：（</w:t>
      </w:r>
      <w:bookmarkEnd w:id="772"/>
      <w:bookmarkEnd w:id="773"/>
      <w:bookmarkEnd w:id="774"/>
      <w:bookmarkEnd w:id="775"/>
      <w:r>
        <w:rPr>
          <w:rFonts w:hint="eastAsia" w:ascii="宋体" w:hAnsi="宋体" w:cs="宋体"/>
          <w:sz w:val="24"/>
        </w:rPr>
        <w:t xml:space="preserve">加盖公章） </w:t>
      </w:r>
    </w:p>
    <w:p>
      <w:pPr>
        <w:jc w:val="left"/>
        <w:rPr>
          <w:rFonts w:ascii="宋体" w:hAnsi="宋体" w:cs="宋体"/>
        </w:rPr>
      </w:pPr>
      <w:r>
        <w:rPr>
          <w:rFonts w:hint="eastAsia" w:ascii="宋体" w:hAnsi="宋体" w:cs="宋体"/>
        </w:rPr>
        <w:t>日期：</w:t>
      </w:r>
    </w:p>
    <w:p>
      <w:pPr>
        <w:rPr>
          <w:rFonts w:ascii="宋体" w:hAnsi="宋体" w:cs="宋体"/>
          <w:sz w:val="24"/>
        </w:rPr>
      </w:pPr>
      <w:r>
        <w:rPr>
          <w:rFonts w:hint="eastAsia" w:ascii="宋体" w:hAnsi="宋体" w:cs="宋体"/>
        </w:rPr>
        <w:br w:type="page"/>
      </w:r>
    </w:p>
    <w:p>
      <w:pPr>
        <w:spacing w:before="120" w:after="120"/>
        <w:jc w:val="left"/>
        <w:rPr>
          <w:rFonts w:ascii="宋体" w:hAnsi="宋体" w:cs="宋体"/>
          <w:b/>
          <w:bCs/>
          <w:caps/>
          <w:sz w:val="36"/>
          <w:szCs w:val="20"/>
        </w:rPr>
      </w:pPr>
      <w:bookmarkStart w:id="776" w:name="_Toc270323890"/>
      <w:bookmarkEnd w:id="776"/>
      <w:r>
        <w:rPr>
          <w:rFonts w:hint="eastAsia" w:ascii="宋体" w:hAnsi="宋体" w:cs="宋体"/>
          <w:b/>
          <w:bCs/>
          <w:caps/>
          <w:sz w:val="36"/>
          <w:szCs w:val="20"/>
        </w:rPr>
        <w:t>第八章  工程量清单</w:t>
      </w: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spacing w:line="360" w:lineRule="auto"/>
        <w:jc w:val="center"/>
        <w:rPr>
          <w:rFonts w:ascii="宋体" w:hAnsi="宋体" w:cs="MingLiU"/>
          <w:kern w:val="0"/>
          <w:sz w:val="24"/>
          <w:szCs w:val="21"/>
        </w:rPr>
      </w:pPr>
    </w:p>
    <w:p>
      <w:pPr>
        <w:jc w:val="left"/>
        <w:rPr>
          <w:sz w:val="24"/>
          <w:szCs w:val="44"/>
        </w:rPr>
      </w:pPr>
    </w:p>
    <w:sectPr>
      <w:pgSz w:w="11906" w:h="16838"/>
      <w:pgMar w:top="1418" w:right="1361"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YPE">
    <w:altName w:val="Times New Roman"/>
    <w:panose1 w:val="00000000000000000000"/>
    <w:charset w:val="00"/>
    <w:family w:val="roman"/>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方正书宋简体">
    <w:altName w:val="黑体"/>
    <w:panose1 w:val="00000000000000000000"/>
    <w:charset w:val="86"/>
    <w:family w:val="auto"/>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方正仿宋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p>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4"/>
      </w:rPr>
    </w:pPr>
    <w:r>
      <w:fldChar w:fldCharType="begin"/>
    </w:r>
    <w:r>
      <w:rPr>
        <w:rStyle w:val="54"/>
      </w:rPr>
      <w:instrText xml:space="preserve">PAGE  </w:instrText>
    </w:r>
    <w:r>
      <w:fldChar w:fldCharType="end"/>
    </w:r>
  </w:p>
  <w:p>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1"/>
    </w:sdtPr>
    <w:sdtContent>
      <w:p>
        <w:pPr>
          <w:pStyle w:val="3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6"/>
    </w:sdtPr>
    <w:sdtContent>
      <w:p>
        <w:pPr>
          <w:pStyle w:val="3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3"/>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4"/>
      </w:rPr>
    </w:pPr>
    <w:r>
      <w:fldChar w:fldCharType="begin"/>
    </w:r>
    <w:r>
      <w:rPr>
        <w:rStyle w:val="54"/>
      </w:rPr>
      <w:instrText xml:space="preserve">PAGE  </w:instrText>
    </w:r>
    <w:r>
      <w:fldChar w:fldCharType="end"/>
    </w:r>
  </w:p>
  <w:p>
    <w:pPr>
      <w:pStyle w:val="3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8"/>
    </w:sdtPr>
    <w:sdtContent>
      <w:p>
        <w:pPr>
          <w:pStyle w:val="33"/>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33"/>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1960318"/>
    </w:sdtPr>
    <w:sdtContent>
      <w:p>
        <w:pPr>
          <w:pStyle w:val="33"/>
          <w:jc w:val="center"/>
        </w:pPr>
        <w:r>
          <w:fldChar w:fldCharType="begin"/>
        </w:r>
        <w:r>
          <w:instrText xml:space="preserve"> PAGE   \* MERGEFORMAT </w:instrText>
        </w:r>
        <w:r>
          <w:fldChar w:fldCharType="separate"/>
        </w:r>
        <w:r>
          <w:rPr>
            <w:lang w:val="zh-CN"/>
          </w:rPr>
          <w:t>24</w:t>
        </w:r>
        <w:r>
          <w:rPr>
            <w:lang w:val="zh-CN"/>
          </w:rPr>
          <w:fldChar w:fldCharType="end"/>
        </w:r>
      </w:p>
    </w:sdtContent>
  </w:sdt>
  <w:p>
    <w:pPr>
      <w:pStyle w:val="33"/>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4"/>
      </w:rPr>
    </w:pPr>
    <w:r>
      <w:fldChar w:fldCharType="begin"/>
    </w:r>
    <w:r>
      <w:rPr>
        <w:rStyle w:val="54"/>
      </w:rPr>
      <w:instrText xml:space="preserve">PAGE  </w:instrText>
    </w:r>
    <w:r>
      <w:fldChar w:fldCharType="end"/>
    </w:r>
  </w:p>
  <w:p>
    <w:pPr>
      <w:pStyle w:val="33"/>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952629"/>
    </w:sdtPr>
    <w:sdtContent>
      <w:p>
        <w:pPr>
          <w:pStyle w:val="33"/>
          <w:jc w:val="center"/>
        </w:pPr>
        <w:r>
          <w:fldChar w:fldCharType="begin"/>
        </w:r>
        <w:r>
          <w:instrText xml:space="preserve"> PAGE   \* MERGEFORMAT </w:instrText>
        </w:r>
        <w:r>
          <w:fldChar w:fldCharType="separate"/>
        </w:r>
        <w:r>
          <w:rPr>
            <w:lang w:val="zh-CN"/>
          </w:rPr>
          <w:t>56</w:t>
        </w:r>
        <w:r>
          <w:rPr>
            <w:lang w:val="zh-CN"/>
          </w:rPr>
          <w:fldChar w:fldCharType="end"/>
        </w:r>
      </w:p>
    </w:sdtContent>
  </w:sdt>
  <w:p>
    <w:pPr>
      <w:pStyle w:val="33"/>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4"/>
      </w:rPr>
    </w:pPr>
    <w:r>
      <w:fldChar w:fldCharType="begin"/>
    </w:r>
    <w:r>
      <w:rPr>
        <w:rStyle w:val="54"/>
      </w:rPr>
      <w:instrText xml:space="preserve">PAGE  </w:instrText>
    </w:r>
    <w:r>
      <w:fldChar w:fldCharType="end"/>
    </w:r>
  </w:p>
  <w:p>
    <w:pPr>
      <w:pStyle w:val="33"/>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r>
      <w:fldChar w:fldCharType="begin"/>
    </w:r>
    <w:r>
      <w:instrText xml:space="preserve"> PAGE   \* MERGEFORMAT </w:instrText>
    </w:r>
    <w:r>
      <w:fldChar w:fldCharType="separate"/>
    </w:r>
    <w:r>
      <w:rPr>
        <w:lang w:val="zh-CN"/>
      </w:rPr>
      <w:t>92</w:t>
    </w:r>
    <w:r>
      <w:rPr>
        <w:lang w:val="zh-CN"/>
      </w:rPr>
      <w:fldChar w:fldCharType="end"/>
    </w:r>
  </w:p>
  <w:p>
    <w:pPr>
      <w:pStyle w:val="33"/>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4"/>
      </w:rPr>
    </w:pPr>
    <w:r>
      <w:fldChar w:fldCharType="begin"/>
    </w:r>
    <w:r>
      <w:rPr>
        <w:rStyle w:val="54"/>
      </w:rPr>
      <w:instrText xml:space="preserve">PAGE  </w:instrText>
    </w:r>
    <w:r>
      <w:fldChar w:fldCharType="end"/>
    </w:r>
  </w:p>
  <w:p>
    <w:pPr>
      <w:pStyle w:val="3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tentative="0">
      <w:start w:val="1"/>
      <w:numFmt w:val="decimal"/>
      <w:lvlText w:val="%1．"/>
      <w:lvlJc w:val="left"/>
      <w:pPr>
        <w:ind w:left="675" w:hanging="360"/>
      </w:pPr>
      <w:rPr>
        <w:rFonts w:hint="default"/>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1">
    <w:nsid w:val="53B04CB0"/>
    <w:multiLevelType w:val="multilevel"/>
    <w:tmpl w:val="53B04CB0"/>
    <w:lvl w:ilvl="0" w:tentative="0">
      <w:start w:val="1"/>
      <w:numFmt w:val="decimal"/>
      <w:lvlText w:val="%1、"/>
      <w:lvlJc w:val="left"/>
      <w:pPr>
        <w:ind w:left="360" w:hanging="360"/>
      </w:pPr>
      <w:rPr>
        <w:rFonts w:hint="default"/>
      </w:rPr>
    </w:lvl>
    <w:lvl w:ilvl="1" w:tentative="0">
      <w:start w:val="1"/>
      <w:numFmt w:val="decimal"/>
      <w:lvlText w:val="%2）"/>
      <w:lvlJc w:val="left"/>
      <w:pPr>
        <w:ind w:left="780" w:hanging="360"/>
      </w:pPr>
      <w:rPr>
        <w:rFonts w:hint="default"/>
      </w:rPr>
    </w:lvl>
    <w:lvl w:ilvl="2" w:tentative="0">
      <w:start w:val="1"/>
      <w:numFmt w:val="decimalEnclosedCircle"/>
      <w:lvlText w:val="%3"/>
      <w:lvlJc w:val="left"/>
      <w:pPr>
        <w:ind w:left="1200" w:hanging="36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567075E"/>
    <w:multiLevelType w:val="multilevel"/>
    <w:tmpl w:val="5567075E"/>
    <w:lvl w:ilvl="0" w:tentative="0">
      <w:start w:val="1"/>
      <w:numFmt w:val="japaneseCounting"/>
      <w:lvlText w:val="第%1章"/>
      <w:lvlJc w:val="left"/>
      <w:pPr>
        <w:ind w:left="885" w:hanging="885"/>
      </w:pPr>
      <w:rPr>
        <w:rFonts w:hint="default" w:ascii="宋体" w:hAnsi="宋体"/>
        <w:b/>
        <w:sz w:val="28"/>
        <w:u w:val="singl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D881033"/>
    <w:multiLevelType w:val="multilevel"/>
    <w:tmpl w:val="7D881033"/>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4A4"/>
    <w:rsid w:val="00000D88"/>
    <w:rsid w:val="00001938"/>
    <w:rsid w:val="00002360"/>
    <w:rsid w:val="000033D5"/>
    <w:rsid w:val="00005D3B"/>
    <w:rsid w:val="0000634C"/>
    <w:rsid w:val="0000719F"/>
    <w:rsid w:val="000071CF"/>
    <w:rsid w:val="0001111A"/>
    <w:rsid w:val="000123A4"/>
    <w:rsid w:val="00012A10"/>
    <w:rsid w:val="00012E50"/>
    <w:rsid w:val="00013DAF"/>
    <w:rsid w:val="00014010"/>
    <w:rsid w:val="000145E9"/>
    <w:rsid w:val="000152AC"/>
    <w:rsid w:val="00017229"/>
    <w:rsid w:val="00017362"/>
    <w:rsid w:val="00017639"/>
    <w:rsid w:val="000177AE"/>
    <w:rsid w:val="00017859"/>
    <w:rsid w:val="000179E7"/>
    <w:rsid w:val="00017B78"/>
    <w:rsid w:val="00017FB2"/>
    <w:rsid w:val="00020C74"/>
    <w:rsid w:val="00020CA1"/>
    <w:rsid w:val="00020D63"/>
    <w:rsid w:val="0002244F"/>
    <w:rsid w:val="00022BBC"/>
    <w:rsid w:val="0002355A"/>
    <w:rsid w:val="00023EF6"/>
    <w:rsid w:val="00024A5A"/>
    <w:rsid w:val="00025132"/>
    <w:rsid w:val="0003069F"/>
    <w:rsid w:val="00031580"/>
    <w:rsid w:val="0003189D"/>
    <w:rsid w:val="00031E3D"/>
    <w:rsid w:val="00031EC6"/>
    <w:rsid w:val="0003234E"/>
    <w:rsid w:val="00033034"/>
    <w:rsid w:val="00033476"/>
    <w:rsid w:val="000334F0"/>
    <w:rsid w:val="00034E05"/>
    <w:rsid w:val="000353DB"/>
    <w:rsid w:val="00035BD6"/>
    <w:rsid w:val="0003790B"/>
    <w:rsid w:val="00037989"/>
    <w:rsid w:val="00040813"/>
    <w:rsid w:val="00040E35"/>
    <w:rsid w:val="0004117C"/>
    <w:rsid w:val="00041CA1"/>
    <w:rsid w:val="000429C7"/>
    <w:rsid w:val="000519D8"/>
    <w:rsid w:val="00051A9E"/>
    <w:rsid w:val="000533A6"/>
    <w:rsid w:val="00053B5E"/>
    <w:rsid w:val="0005496E"/>
    <w:rsid w:val="00054B0C"/>
    <w:rsid w:val="00054C0F"/>
    <w:rsid w:val="00054C51"/>
    <w:rsid w:val="00055402"/>
    <w:rsid w:val="00057A3A"/>
    <w:rsid w:val="00060462"/>
    <w:rsid w:val="000604FF"/>
    <w:rsid w:val="00060A6D"/>
    <w:rsid w:val="00060D34"/>
    <w:rsid w:val="00060D9E"/>
    <w:rsid w:val="00061226"/>
    <w:rsid w:val="0006225E"/>
    <w:rsid w:val="00062448"/>
    <w:rsid w:val="00062B12"/>
    <w:rsid w:val="00063003"/>
    <w:rsid w:val="0006312B"/>
    <w:rsid w:val="000640C5"/>
    <w:rsid w:val="000641C4"/>
    <w:rsid w:val="00065946"/>
    <w:rsid w:val="00066498"/>
    <w:rsid w:val="00066931"/>
    <w:rsid w:val="00067036"/>
    <w:rsid w:val="0006765B"/>
    <w:rsid w:val="00067F34"/>
    <w:rsid w:val="00070645"/>
    <w:rsid w:val="00071C7D"/>
    <w:rsid w:val="00072843"/>
    <w:rsid w:val="000728DC"/>
    <w:rsid w:val="0007371C"/>
    <w:rsid w:val="00073FD4"/>
    <w:rsid w:val="00074317"/>
    <w:rsid w:val="000758A9"/>
    <w:rsid w:val="0007617D"/>
    <w:rsid w:val="00076AB7"/>
    <w:rsid w:val="000772BA"/>
    <w:rsid w:val="000773B7"/>
    <w:rsid w:val="00077847"/>
    <w:rsid w:val="00080AE4"/>
    <w:rsid w:val="00080E35"/>
    <w:rsid w:val="000825DA"/>
    <w:rsid w:val="000832B4"/>
    <w:rsid w:val="00083361"/>
    <w:rsid w:val="0008437D"/>
    <w:rsid w:val="000843DE"/>
    <w:rsid w:val="00084C2E"/>
    <w:rsid w:val="00085DFA"/>
    <w:rsid w:val="00086483"/>
    <w:rsid w:val="00086653"/>
    <w:rsid w:val="00086A93"/>
    <w:rsid w:val="00086DC0"/>
    <w:rsid w:val="00087AE9"/>
    <w:rsid w:val="00087C1D"/>
    <w:rsid w:val="00087F4B"/>
    <w:rsid w:val="00091B68"/>
    <w:rsid w:val="00092DA7"/>
    <w:rsid w:val="0009493E"/>
    <w:rsid w:val="00094F7F"/>
    <w:rsid w:val="0009638B"/>
    <w:rsid w:val="0009673D"/>
    <w:rsid w:val="00097FDA"/>
    <w:rsid w:val="000A0E6E"/>
    <w:rsid w:val="000A0FD6"/>
    <w:rsid w:val="000A1B76"/>
    <w:rsid w:val="000A2C67"/>
    <w:rsid w:val="000A2CFB"/>
    <w:rsid w:val="000A2EF5"/>
    <w:rsid w:val="000A30EE"/>
    <w:rsid w:val="000A3594"/>
    <w:rsid w:val="000A3D06"/>
    <w:rsid w:val="000A4838"/>
    <w:rsid w:val="000A4873"/>
    <w:rsid w:val="000A4C70"/>
    <w:rsid w:val="000A5D23"/>
    <w:rsid w:val="000A61C1"/>
    <w:rsid w:val="000A7097"/>
    <w:rsid w:val="000A7218"/>
    <w:rsid w:val="000B0859"/>
    <w:rsid w:val="000B16A3"/>
    <w:rsid w:val="000B18E5"/>
    <w:rsid w:val="000B237A"/>
    <w:rsid w:val="000B31FB"/>
    <w:rsid w:val="000B364C"/>
    <w:rsid w:val="000B4BD3"/>
    <w:rsid w:val="000B5438"/>
    <w:rsid w:val="000B66A9"/>
    <w:rsid w:val="000B6F68"/>
    <w:rsid w:val="000B7963"/>
    <w:rsid w:val="000B79FC"/>
    <w:rsid w:val="000C02AF"/>
    <w:rsid w:val="000C03E2"/>
    <w:rsid w:val="000C0534"/>
    <w:rsid w:val="000C12CA"/>
    <w:rsid w:val="000C267C"/>
    <w:rsid w:val="000C2B7B"/>
    <w:rsid w:val="000C31C0"/>
    <w:rsid w:val="000C39A1"/>
    <w:rsid w:val="000C560C"/>
    <w:rsid w:val="000C66A2"/>
    <w:rsid w:val="000C776C"/>
    <w:rsid w:val="000C7826"/>
    <w:rsid w:val="000C78BC"/>
    <w:rsid w:val="000D07CE"/>
    <w:rsid w:val="000D16EB"/>
    <w:rsid w:val="000D1BAC"/>
    <w:rsid w:val="000D1CEE"/>
    <w:rsid w:val="000D286B"/>
    <w:rsid w:val="000D3B1F"/>
    <w:rsid w:val="000D493A"/>
    <w:rsid w:val="000D5B58"/>
    <w:rsid w:val="000D5CC6"/>
    <w:rsid w:val="000E041C"/>
    <w:rsid w:val="000E0A3C"/>
    <w:rsid w:val="000E1A3E"/>
    <w:rsid w:val="000E227F"/>
    <w:rsid w:val="000E3819"/>
    <w:rsid w:val="000E5E03"/>
    <w:rsid w:val="000E62A5"/>
    <w:rsid w:val="000E656C"/>
    <w:rsid w:val="000E664F"/>
    <w:rsid w:val="000E6C4E"/>
    <w:rsid w:val="000E6E32"/>
    <w:rsid w:val="000E7066"/>
    <w:rsid w:val="000E7320"/>
    <w:rsid w:val="000F00CA"/>
    <w:rsid w:val="000F0382"/>
    <w:rsid w:val="000F0AB1"/>
    <w:rsid w:val="000F10A3"/>
    <w:rsid w:val="000F27FC"/>
    <w:rsid w:val="000F4A95"/>
    <w:rsid w:val="000F4C4D"/>
    <w:rsid w:val="000F5CB6"/>
    <w:rsid w:val="000F6C56"/>
    <w:rsid w:val="000F7864"/>
    <w:rsid w:val="000F7A5E"/>
    <w:rsid w:val="00100376"/>
    <w:rsid w:val="0010065F"/>
    <w:rsid w:val="00100D57"/>
    <w:rsid w:val="00103623"/>
    <w:rsid w:val="00104DBD"/>
    <w:rsid w:val="001074D4"/>
    <w:rsid w:val="00110B41"/>
    <w:rsid w:val="00113BF4"/>
    <w:rsid w:val="00113E8C"/>
    <w:rsid w:val="0011459C"/>
    <w:rsid w:val="00115530"/>
    <w:rsid w:val="00115B79"/>
    <w:rsid w:val="00115E06"/>
    <w:rsid w:val="00116DDC"/>
    <w:rsid w:val="00117FC5"/>
    <w:rsid w:val="001209C5"/>
    <w:rsid w:val="00120E6E"/>
    <w:rsid w:val="00120F81"/>
    <w:rsid w:val="001244ED"/>
    <w:rsid w:val="00124B61"/>
    <w:rsid w:val="00125831"/>
    <w:rsid w:val="001258B1"/>
    <w:rsid w:val="00125986"/>
    <w:rsid w:val="00125CB1"/>
    <w:rsid w:val="00125FDC"/>
    <w:rsid w:val="0012606E"/>
    <w:rsid w:val="0012667F"/>
    <w:rsid w:val="00126E2F"/>
    <w:rsid w:val="00127976"/>
    <w:rsid w:val="00130E54"/>
    <w:rsid w:val="00131BCD"/>
    <w:rsid w:val="00132150"/>
    <w:rsid w:val="001321BD"/>
    <w:rsid w:val="0013253F"/>
    <w:rsid w:val="001342D9"/>
    <w:rsid w:val="00135099"/>
    <w:rsid w:val="00135F52"/>
    <w:rsid w:val="0013664B"/>
    <w:rsid w:val="001368B4"/>
    <w:rsid w:val="00136BC1"/>
    <w:rsid w:val="00136C26"/>
    <w:rsid w:val="00137357"/>
    <w:rsid w:val="00137734"/>
    <w:rsid w:val="00140B11"/>
    <w:rsid w:val="00140C79"/>
    <w:rsid w:val="00141414"/>
    <w:rsid w:val="001458E9"/>
    <w:rsid w:val="00146749"/>
    <w:rsid w:val="001468C8"/>
    <w:rsid w:val="00146AB9"/>
    <w:rsid w:val="00150ABA"/>
    <w:rsid w:val="0015157F"/>
    <w:rsid w:val="00151629"/>
    <w:rsid w:val="001519FF"/>
    <w:rsid w:val="00151D50"/>
    <w:rsid w:val="001523E5"/>
    <w:rsid w:val="00152AF6"/>
    <w:rsid w:val="0015317E"/>
    <w:rsid w:val="001549D6"/>
    <w:rsid w:val="001559B5"/>
    <w:rsid w:val="00156149"/>
    <w:rsid w:val="00157432"/>
    <w:rsid w:val="00157CA4"/>
    <w:rsid w:val="00157FDD"/>
    <w:rsid w:val="001600C1"/>
    <w:rsid w:val="001604B0"/>
    <w:rsid w:val="001609BF"/>
    <w:rsid w:val="00160D8B"/>
    <w:rsid w:val="00162316"/>
    <w:rsid w:val="00163C60"/>
    <w:rsid w:val="00166FBA"/>
    <w:rsid w:val="00167B26"/>
    <w:rsid w:val="00167C5B"/>
    <w:rsid w:val="00170A4A"/>
    <w:rsid w:val="00170D57"/>
    <w:rsid w:val="00170F27"/>
    <w:rsid w:val="00170FA1"/>
    <w:rsid w:val="001713AD"/>
    <w:rsid w:val="00171C5B"/>
    <w:rsid w:val="00171F68"/>
    <w:rsid w:val="00172749"/>
    <w:rsid w:val="00172A27"/>
    <w:rsid w:val="001741FE"/>
    <w:rsid w:val="00174BCD"/>
    <w:rsid w:val="0017554A"/>
    <w:rsid w:val="00175962"/>
    <w:rsid w:val="00175DAF"/>
    <w:rsid w:val="00177A6E"/>
    <w:rsid w:val="00180542"/>
    <w:rsid w:val="0018064A"/>
    <w:rsid w:val="00180C97"/>
    <w:rsid w:val="00180FCE"/>
    <w:rsid w:val="0018104A"/>
    <w:rsid w:val="001815D2"/>
    <w:rsid w:val="00182239"/>
    <w:rsid w:val="0018255D"/>
    <w:rsid w:val="0018308D"/>
    <w:rsid w:val="00184317"/>
    <w:rsid w:val="001846C0"/>
    <w:rsid w:val="00184A78"/>
    <w:rsid w:val="00185330"/>
    <w:rsid w:val="00185DC6"/>
    <w:rsid w:val="00186629"/>
    <w:rsid w:val="00186EA0"/>
    <w:rsid w:val="001906CF"/>
    <w:rsid w:val="00190C53"/>
    <w:rsid w:val="001918D5"/>
    <w:rsid w:val="00191A05"/>
    <w:rsid w:val="00192DAC"/>
    <w:rsid w:val="0019314D"/>
    <w:rsid w:val="00193FBC"/>
    <w:rsid w:val="00194344"/>
    <w:rsid w:val="0019481A"/>
    <w:rsid w:val="00195685"/>
    <w:rsid w:val="00195E7B"/>
    <w:rsid w:val="001961CA"/>
    <w:rsid w:val="001969EE"/>
    <w:rsid w:val="00196A7D"/>
    <w:rsid w:val="00197456"/>
    <w:rsid w:val="0019774E"/>
    <w:rsid w:val="00197A1F"/>
    <w:rsid w:val="001A2041"/>
    <w:rsid w:val="001A2332"/>
    <w:rsid w:val="001A2653"/>
    <w:rsid w:val="001A437E"/>
    <w:rsid w:val="001A4F63"/>
    <w:rsid w:val="001A60BA"/>
    <w:rsid w:val="001A6645"/>
    <w:rsid w:val="001A6F4C"/>
    <w:rsid w:val="001A7844"/>
    <w:rsid w:val="001B19BD"/>
    <w:rsid w:val="001B1BF3"/>
    <w:rsid w:val="001B1EBA"/>
    <w:rsid w:val="001B271B"/>
    <w:rsid w:val="001B3405"/>
    <w:rsid w:val="001B3743"/>
    <w:rsid w:val="001B3E1E"/>
    <w:rsid w:val="001B43A9"/>
    <w:rsid w:val="001B4796"/>
    <w:rsid w:val="001B560E"/>
    <w:rsid w:val="001B7D85"/>
    <w:rsid w:val="001C028C"/>
    <w:rsid w:val="001C0CD7"/>
    <w:rsid w:val="001C1140"/>
    <w:rsid w:val="001C21BF"/>
    <w:rsid w:val="001C3289"/>
    <w:rsid w:val="001C34BF"/>
    <w:rsid w:val="001C3A8A"/>
    <w:rsid w:val="001C3BA0"/>
    <w:rsid w:val="001C4FBE"/>
    <w:rsid w:val="001C5B60"/>
    <w:rsid w:val="001C7385"/>
    <w:rsid w:val="001D2164"/>
    <w:rsid w:val="001D293F"/>
    <w:rsid w:val="001D3BD5"/>
    <w:rsid w:val="001D3E5F"/>
    <w:rsid w:val="001D4505"/>
    <w:rsid w:val="001D4D3B"/>
    <w:rsid w:val="001D5946"/>
    <w:rsid w:val="001D6DB1"/>
    <w:rsid w:val="001D6F21"/>
    <w:rsid w:val="001E0F69"/>
    <w:rsid w:val="001E3196"/>
    <w:rsid w:val="001E330B"/>
    <w:rsid w:val="001E3CAF"/>
    <w:rsid w:val="001E41AA"/>
    <w:rsid w:val="001E4244"/>
    <w:rsid w:val="001E4843"/>
    <w:rsid w:val="001E4C29"/>
    <w:rsid w:val="001E5104"/>
    <w:rsid w:val="001E5C9C"/>
    <w:rsid w:val="001E678D"/>
    <w:rsid w:val="001E6AB8"/>
    <w:rsid w:val="001E6DB1"/>
    <w:rsid w:val="001E744D"/>
    <w:rsid w:val="001E74A4"/>
    <w:rsid w:val="001E7A97"/>
    <w:rsid w:val="001E7FA0"/>
    <w:rsid w:val="001F1DF6"/>
    <w:rsid w:val="001F2358"/>
    <w:rsid w:val="001F3461"/>
    <w:rsid w:val="001F3DBA"/>
    <w:rsid w:val="001F3E14"/>
    <w:rsid w:val="001F4B6D"/>
    <w:rsid w:val="001F5252"/>
    <w:rsid w:val="001F674A"/>
    <w:rsid w:val="001F7381"/>
    <w:rsid w:val="001F7C8A"/>
    <w:rsid w:val="00200485"/>
    <w:rsid w:val="00200765"/>
    <w:rsid w:val="00200C75"/>
    <w:rsid w:val="00201168"/>
    <w:rsid w:val="00201F5A"/>
    <w:rsid w:val="00203072"/>
    <w:rsid w:val="00203851"/>
    <w:rsid w:val="00203B03"/>
    <w:rsid w:val="00204B93"/>
    <w:rsid w:val="00206047"/>
    <w:rsid w:val="00210AEF"/>
    <w:rsid w:val="002111A0"/>
    <w:rsid w:val="0021151C"/>
    <w:rsid w:val="00211E73"/>
    <w:rsid w:val="0021258C"/>
    <w:rsid w:val="0021286F"/>
    <w:rsid w:val="002133DF"/>
    <w:rsid w:val="0021406C"/>
    <w:rsid w:val="00214D6F"/>
    <w:rsid w:val="00215285"/>
    <w:rsid w:val="00215484"/>
    <w:rsid w:val="002170E6"/>
    <w:rsid w:val="00217324"/>
    <w:rsid w:val="00221E06"/>
    <w:rsid w:val="00221F3A"/>
    <w:rsid w:val="00222232"/>
    <w:rsid w:val="00222F66"/>
    <w:rsid w:val="0022340D"/>
    <w:rsid w:val="002237A2"/>
    <w:rsid w:val="0022396F"/>
    <w:rsid w:val="00224824"/>
    <w:rsid w:val="00225619"/>
    <w:rsid w:val="002257DE"/>
    <w:rsid w:val="00225A34"/>
    <w:rsid w:val="00225A8A"/>
    <w:rsid w:val="00225E26"/>
    <w:rsid w:val="00226380"/>
    <w:rsid w:val="002269EB"/>
    <w:rsid w:val="00227F90"/>
    <w:rsid w:val="0023053F"/>
    <w:rsid w:val="00232D30"/>
    <w:rsid w:val="00234327"/>
    <w:rsid w:val="00234696"/>
    <w:rsid w:val="00234E8C"/>
    <w:rsid w:val="002361D3"/>
    <w:rsid w:val="00240A65"/>
    <w:rsid w:val="0024101D"/>
    <w:rsid w:val="0024106F"/>
    <w:rsid w:val="00241A76"/>
    <w:rsid w:val="00241B73"/>
    <w:rsid w:val="00241EC4"/>
    <w:rsid w:val="00242A5B"/>
    <w:rsid w:val="00242BC6"/>
    <w:rsid w:val="0024307C"/>
    <w:rsid w:val="00245AEA"/>
    <w:rsid w:val="00246E06"/>
    <w:rsid w:val="00247277"/>
    <w:rsid w:val="00247811"/>
    <w:rsid w:val="00250317"/>
    <w:rsid w:val="0025037F"/>
    <w:rsid w:val="00250B5C"/>
    <w:rsid w:val="00250F5C"/>
    <w:rsid w:val="00250FAE"/>
    <w:rsid w:val="002511D1"/>
    <w:rsid w:val="00254790"/>
    <w:rsid w:val="00254F91"/>
    <w:rsid w:val="002550BE"/>
    <w:rsid w:val="00255170"/>
    <w:rsid w:val="0026024E"/>
    <w:rsid w:val="002605BD"/>
    <w:rsid w:val="00262162"/>
    <w:rsid w:val="00264161"/>
    <w:rsid w:val="002646A6"/>
    <w:rsid w:val="00265D2E"/>
    <w:rsid w:val="002663B2"/>
    <w:rsid w:val="00266A75"/>
    <w:rsid w:val="00266E66"/>
    <w:rsid w:val="00267B7E"/>
    <w:rsid w:val="0027306A"/>
    <w:rsid w:val="00273074"/>
    <w:rsid w:val="002745D2"/>
    <w:rsid w:val="00274832"/>
    <w:rsid w:val="00274A32"/>
    <w:rsid w:val="00276C11"/>
    <w:rsid w:val="00276F6B"/>
    <w:rsid w:val="00277885"/>
    <w:rsid w:val="00280CC5"/>
    <w:rsid w:val="00281FAB"/>
    <w:rsid w:val="00282450"/>
    <w:rsid w:val="0028294C"/>
    <w:rsid w:val="00282BDC"/>
    <w:rsid w:val="002852AE"/>
    <w:rsid w:val="00286DE3"/>
    <w:rsid w:val="0028708C"/>
    <w:rsid w:val="00290D28"/>
    <w:rsid w:val="00290F35"/>
    <w:rsid w:val="00290F57"/>
    <w:rsid w:val="002913C0"/>
    <w:rsid w:val="00291C1A"/>
    <w:rsid w:val="00292EE5"/>
    <w:rsid w:val="0029300C"/>
    <w:rsid w:val="00293464"/>
    <w:rsid w:val="0029403F"/>
    <w:rsid w:val="00294DB2"/>
    <w:rsid w:val="00295C9C"/>
    <w:rsid w:val="00297912"/>
    <w:rsid w:val="00297A64"/>
    <w:rsid w:val="00297C94"/>
    <w:rsid w:val="002A019E"/>
    <w:rsid w:val="002A024D"/>
    <w:rsid w:val="002A06D1"/>
    <w:rsid w:val="002A0D59"/>
    <w:rsid w:val="002A11AD"/>
    <w:rsid w:val="002A11E4"/>
    <w:rsid w:val="002A2901"/>
    <w:rsid w:val="002A3235"/>
    <w:rsid w:val="002A3595"/>
    <w:rsid w:val="002A4611"/>
    <w:rsid w:val="002A5B10"/>
    <w:rsid w:val="002A62E4"/>
    <w:rsid w:val="002A72E7"/>
    <w:rsid w:val="002A7E49"/>
    <w:rsid w:val="002B0A55"/>
    <w:rsid w:val="002B14AF"/>
    <w:rsid w:val="002B1A3E"/>
    <w:rsid w:val="002B1CD5"/>
    <w:rsid w:val="002B28FA"/>
    <w:rsid w:val="002B3FAF"/>
    <w:rsid w:val="002B4625"/>
    <w:rsid w:val="002B4EAE"/>
    <w:rsid w:val="002B56EA"/>
    <w:rsid w:val="002C00A1"/>
    <w:rsid w:val="002C07F7"/>
    <w:rsid w:val="002C102F"/>
    <w:rsid w:val="002C17AE"/>
    <w:rsid w:val="002C1FC1"/>
    <w:rsid w:val="002C22AF"/>
    <w:rsid w:val="002C2854"/>
    <w:rsid w:val="002C2B3D"/>
    <w:rsid w:val="002C3A93"/>
    <w:rsid w:val="002C49A6"/>
    <w:rsid w:val="002C4A62"/>
    <w:rsid w:val="002C67AD"/>
    <w:rsid w:val="002C68CB"/>
    <w:rsid w:val="002C6FF3"/>
    <w:rsid w:val="002C7347"/>
    <w:rsid w:val="002C7C35"/>
    <w:rsid w:val="002D0512"/>
    <w:rsid w:val="002D11BE"/>
    <w:rsid w:val="002D12D3"/>
    <w:rsid w:val="002D1406"/>
    <w:rsid w:val="002D141C"/>
    <w:rsid w:val="002D1EA4"/>
    <w:rsid w:val="002D455A"/>
    <w:rsid w:val="002D4E34"/>
    <w:rsid w:val="002D548C"/>
    <w:rsid w:val="002D57E2"/>
    <w:rsid w:val="002D585C"/>
    <w:rsid w:val="002D7F35"/>
    <w:rsid w:val="002E0B40"/>
    <w:rsid w:val="002E0FD5"/>
    <w:rsid w:val="002E184A"/>
    <w:rsid w:val="002E2FDE"/>
    <w:rsid w:val="002E3765"/>
    <w:rsid w:val="002E3B41"/>
    <w:rsid w:val="002E3BC3"/>
    <w:rsid w:val="002E3D94"/>
    <w:rsid w:val="002E4827"/>
    <w:rsid w:val="002E49BA"/>
    <w:rsid w:val="002E5ADB"/>
    <w:rsid w:val="002E6021"/>
    <w:rsid w:val="002E6E2C"/>
    <w:rsid w:val="002E7A59"/>
    <w:rsid w:val="002F05C8"/>
    <w:rsid w:val="002F1997"/>
    <w:rsid w:val="002F20CF"/>
    <w:rsid w:val="002F2418"/>
    <w:rsid w:val="002F2CFD"/>
    <w:rsid w:val="002F325F"/>
    <w:rsid w:val="002F3D70"/>
    <w:rsid w:val="002F4CDA"/>
    <w:rsid w:val="002F6955"/>
    <w:rsid w:val="002F6B53"/>
    <w:rsid w:val="002F7CF0"/>
    <w:rsid w:val="002F7E9F"/>
    <w:rsid w:val="00300396"/>
    <w:rsid w:val="00301A0E"/>
    <w:rsid w:val="003024C6"/>
    <w:rsid w:val="00302D21"/>
    <w:rsid w:val="003034E8"/>
    <w:rsid w:val="00304766"/>
    <w:rsid w:val="00304CAD"/>
    <w:rsid w:val="003053B3"/>
    <w:rsid w:val="00307D82"/>
    <w:rsid w:val="0031053F"/>
    <w:rsid w:val="00310909"/>
    <w:rsid w:val="00311035"/>
    <w:rsid w:val="00311139"/>
    <w:rsid w:val="00312031"/>
    <w:rsid w:val="00312AE9"/>
    <w:rsid w:val="00312C6F"/>
    <w:rsid w:val="00313163"/>
    <w:rsid w:val="00313379"/>
    <w:rsid w:val="0031493E"/>
    <w:rsid w:val="00314C6B"/>
    <w:rsid w:val="00314E9A"/>
    <w:rsid w:val="0031645A"/>
    <w:rsid w:val="003172C3"/>
    <w:rsid w:val="00317B18"/>
    <w:rsid w:val="00317CF4"/>
    <w:rsid w:val="003208D3"/>
    <w:rsid w:val="00321DBE"/>
    <w:rsid w:val="00321F32"/>
    <w:rsid w:val="003222DD"/>
    <w:rsid w:val="0032251B"/>
    <w:rsid w:val="00322CBF"/>
    <w:rsid w:val="00323DCA"/>
    <w:rsid w:val="003244B5"/>
    <w:rsid w:val="003247F7"/>
    <w:rsid w:val="003248C6"/>
    <w:rsid w:val="0032577F"/>
    <w:rsid w:val="003264B7"/>
    <w:rsid w:val="003269FE"/>
    <w:rsid w:val="00326B7E"/>
    <w:rsid w:val="00327C88"/>
    <w:rsid w:val="00327F01"/>
    <w:rsid w:val="0033099B"/>
    <w:rsid w:val="00332069"/>
    <w:rsid w:val="00332993"/>
    <w:rsid w:val="003346BB"/>
    <w:rsid w:val="003349C5"/>
    <w:rsid w:val="003349FC"/>
    <w:rsid w:val="00335B16"/>
    <w:rsid w:val="003363F6"/>
    <w:rsid w:val="0033789E"/>
    <w:rsid w:val="00337A5F"/>
    <w:rsid w:val="003401F5"/>
    <w:rsid w:val="003407DC"/>
    <w:rsid w:val="00340CB4"/>
    <w:rsid w:val="00340EAB"/>
    <w:rsid w:val="00341685"/>
    <w:rsid w:val="003417F0"/>
    <w:rsid w:val="00342E93"/>
    <w:rsid w:val="0034326D"/>
    <w:rsid w:val="00343734"/>
    <w:rsid w:val="003443C5"/>
    <w:rsid w:val="003452B0"/>
    <w:rsid w:val="00345EBE"/>
    <w:rsid w:val="003460FB"/>
    <w:rsid w:val="00346428"/>
    <w:rsid w:val="00346442"/>
    <w:rsid w:val="003501B4"/>
    <w:rsid w:val="00350B2C"/>
    <w:rsid w:val="00351AD5"/>
    <w:rsid w:val="003530BA"/>
    <w:rsid w:val="003533AA"/>
    <w:rsid w:val="00353C06"/>
    <w:rsid w:val="00354FDD"/>
    <w:rsid w:val="003552DE"/>
    <w:rsid w:val="00355412"/>
    <w:rsid w:val="00355631"/>
    <w:rsid w:val="00356F92"/>
    <w:rsid w:val="003578CC"/>
    <w:rsid w:val="00360052"/>
    <w:rsid w:val="003601C8"/>
    <w:rsid w:val="00360895"/>
    <w:rsid w:val="0036145A"/>
    <w:rsid w:val="00363376"/>
    <w:rsid w:val="00366B25"/>
    <w:rsid w:val="00367675"/>
    <w:rsid w:val="00367DE8"/>
    <w:rsid w:val="003714E1"/>
    <w:rsid w:val="00371F42"/>
    <w:rsid w:val="00374399"/>
    <w:rsid w:val="003755D0"/>
    <w:rsid w:val="003770EC"/>
    <w:rsid w:val="00377FEA"/>
    <w:rsid w:val="003804AA"/>
    <w:rsid w:val="00380528"/>
    <w:rsid w:val="003820E2"/>
    <w:rsid w:val="003822AC"/>
    <w:rsid w:val="00382335"/>
    <w:rsid w:val="00383C97"/>
    <w:rsid w:val="00383CB8"/>
    <w:rsid w:val="0038434B"/>
    <w:rsid w:val="00384635"/>
    <w:rsid w:val="003878CE"/>
    <w:rsid w:val="00387E38"/>
    <w:rsid w:val="00387E5F"/>
    <w:rsid w:val="003901D3"/>
    <w:rsid w:val="003909A4"/>
    <w:rsid w:val="00392C0D"/>
    <w:rsid w:val="00392F81"/>
    <w:rsid w:val="00393A87"/>
    <w:rsid w:val="003951B5"/>
    <w:rsid w:val="00396132"/>
    <w:rsid w:val="00397DCA"/>
    <w:rsid w:val="003A12A7"/>
    <w:rsid w:val="003A14D1"/>
    <w:rsid w:val="003A164A"/>
    <w:rsid w:val="003A2718"/>
    <w:rsid w:val="003A4F37"/>
    <w:rsid w:val="003A5DBD"/>
    <w:rsid w:val="003A696D"/>
    <w:rsid w:val="003B2E94"/>
    <w:rsid w:val="003B4B0B"/>
    <w:rsid w:val="003B4DAE"/>
    <w:rsid w:val="003B4FC7"/>
    <w:rsid w:val="003B5082"/>
    <w:rsid w:val="003B5CFB"/>
    <w:rsid w:val="003B68B9"/>
    <w:rsid w:val="003B6FCA"/>
    <w:rsid w:val="003B76B7"/>
    <w:rsid w:val="003B7C36"/>
    <w:rsid w:val="003C0D0F"/>
    <w:rsid w:val="003C2AFF"/>
    <w:rsid w:val="003C2C49"/>
    <w:rsid w:val="003C4382"/>
    <w:rsid w:val="003C48F1"/>
    <w:rsid w:val="003C506E"/>
    <w:rsid w:val="003C5553"/>
    <w:rsid w:val="003C5766"/>
    <w:rsid w:val="003C5DF1"/>
    <w:rsid w:val="003C5F4A"/>
    <w:rsid w:val="003C688E"/>
    <w:rsid w:val="003C7606"/>
    <w:rsid w:val="003C795B"/>
    <w:rsid w:val="003C7B12"/>
    <w:rsid w:val="003C7D61"/>
    <w:rsid w:val="003D2115"/>
    <w:rsid w:val="003D27E3"/>
    <w:rsid w:val="003D363A"/>
    <w:rsid w:val="003D559E"/>
    <w:rsid w:val="003D6821"/>
    <w:rsid w:val="003D7490"/>
    <w:rsid w:val="003E21A8"/>
    <w:rsid w:val="003E22BE"/>
    <w:rsid w:val="003E36A4"/>
    <w:rsid w:val="003E4653"/>
    <w:rsid w:val="003E4E4A"/>
    <w:rsid w:val="003E6132"/>
    <w:rsid w:val="003E61E0"/>
    <w:rsid w:val="003E6712"/>
    <w:rsid w:val="003E6BC2"/>
    <w:rsid w:val="003E76D9"/>
    <w:rsid w:val="003E79AA"/>
    <w:rsid w:val="003F0739"/>
    <w:rsid w:val="003F19C0"/>
    <w:rsid w:val="003F36AF"/>
    <w:rsid w:val="003F5170"/>
    <w:rsid w:val="003F5291"/>
    <w:rsid w:val="003F5AFC"/>
    <w:rsid w:val="003F6991"/>
    <w:rsid w:val="003F7732"/>
    <w:rsid w:val="004011C0"/>
    <w:rsid w:val="00401FDE"/>
    <w:rsid w:val="004040C6"/>
    <w:rsid w:val="0040418F"/>
    <w:rsid w:val="00404874"/>
    <w:rsid w:val="0040489C"/>
    <w:rsid w:val="00405B0F"/>
    <w:rsid w:val="0040643D"/>
    <w:rsid w:val="0040681C"/>
    <w:rsid w:val="00411069"/>
    <w:rsid w:val="00411C25"/>
    <w:rsid w:val="00411F62"/>
    <w:rsid w:val="00412484"/>
    <w:rsid w:val="004129C8"/>
    <w:rsid w:val="00412FE4"/>
    <w:rsid w:val="0041302B"/>
    <w:rsid w:val="00413F22"/>
    <w:rsid w:val="00414BCD"/>
    <w:rsid w:val="00415809"/>
    <w:rsid w:val="00416014"/>
    <w:rsid w:val="004161DE"/>
    <w:rsid w:val="0041635D"/>
    <w:rsid w:val="00417B35"/>
    <w:rsid w:val="00421264"/>
    <w:rsid w:val="00421976"/>
    <w:rsid w:val="00421BFF"/>
    <w:rsid w:val="004220DE"/>
    <w:rsid w:val="00422340"/>
    <w:rsid w:val="00422DCA"/>
    <w:rsid w:val="00423BEB"/>
    <w:rsid w:val="00424860"/>
    <w:rsid w:val="00424F49"/>
    <w:rsid w:val="0043161E"/>
    <w:rsid w:val="00431FF9"/>
    <w:rsid w:val="0043210C"/>
    <w:rsid w:val="004327DE"/>
    <w:rsid w:val="00432DA3"/>
    <w:rsid w:val="00433379"/>
    <w:rsid w:val="004337CB"/>
    <w:rsid w:val="004337DF"/>
    <w:rsid w:val="00434541"/>
    <w:rsid w:val="0043472F"/>
    <w:rsid w:val="00434E75"/>
    <w:rsid w:val="00435253"/>
    <w:rsid w:val="004353B3"/>
    <w:rsid w:val="00436760"/>
    <w:rsid w:val="004367E7"/>
    <w:rsid w:val="00436F80"/>
    <w:rsid w:val="00440B6D"/>
    <w:rsid w:val="004423AF"/>
    <w:rsid w:val="0044251F"/>
    <w:rsid w:val="00443926"/>
    <w:rsid w:val="004447D0"/>
    <w:rsid w:val="00444A21"/>
    <w:rsid w:val="00446858"/>
    <w:rsid w:val="0044699C"/>
    <w:rsid w:val="00450A9E"/>
    <w:rsid w:val="004534DA"/>
    <w:rsid w:val="004545CD"/>
    <w:rsid w:val="00454AB8"/>
    <w:rsid w:val="00454D11"/>
    <w:rsid w:val="00455169"/>
    <w:rsid w:val="00455274"/>
    <w:rsid w:val="00461492"/>
    <w:rsid w:val="0046244F"/>
    <w:rsid w:val="00462D71"/>
    <w:rsid w:val="00464EBE"/>
    <w:rsid w:val="0046562A"/>
    <w:rsid w:val="00466224"/>
    <w:rsid w:val="00467640"/>
    <w:rsid w:val="00467992"/>
    <w:rsid w:val="00470390"/>
    <w:rsid w:val="00470479"/>
    <w:rsid w:val="00470F3D"/>
    <w:rsid w:val="0047142B"/>
    <w:rsid w:val="004717FC"/>
    <w:rsid w:val="004718B9"/>
    <w:rsid w:val="00471B08"/>
    <w:rsid w:val="004739A7"/>
    <w:rsid w:val="00474785"/>
    <w:rsid w:val="004750CE"/>
    <w:rsid w:val="004767E4"/>
    <w:rsid w:val="00477004"/>
    <w:rsid w:val="004773F7"/>
    <w:rsid w:val="004779BB"/>
    <w:rsid w:val="00480007"/>
    <w:rsid w:val="00480B9A"/>
    <w:rsid w:val="00480E8A"/>
    <w:rsid w:val="00481539"/>
    <w:rsid w:val="0048181A"/>
    <w:rsid w:val="0048323F"/>
    <w:rsid w:val="0048373C"/>
    <w:rsid w:val="00483FDE"/>
    <w:rsid w:val="00484333"/>
    <w:rsid w:val="00484D53"/>
    <w:rsid w:val="004865FF"/>
    <w:rsid w:val="004874C6"/>
    <w:rsid w:val="004909D2"/>
    <w:rsid w:val="00490BEC"/>
    <w:rsid w:val="0049107E"/>
    <w:rsid w:val="00491DB6"/>
    <w:rsid w:val="00492AB3"/>
    <w:rsid w:val="004930DD"/>
    <w:rsid w:val="00495B93"/>
    <w:rsid w:val="00496153"/>
    <w:rsid w:val="0049679C"/>
    <w:rsid w:val="00496A41"/>
    <w:rsid w:val="00496C39"/>
    <w:rsid w:val="004970DC"/>
    <w:rsid w:val="00497D27"/>
    <w:rsid w:val="004A041D"/>
    <w:rsid w:val="004A0E5F"/>
    <w:rsid w:val="004A3A66"/>
    <w:rsid w:val="004A40C4"/>
    <w:rsid w:val="004A4929"/>
    <w:rsid w:val="004A4AF7"/>
    <w:rsid w:val="004A5020"/>
    <w:rsid w:val="004A6EA7"/>
    <w:rsid w:val="004A7842"/>
    <w:rsid w:val="004A7943"/>
    <w:rsid w:val="004B05D4"/>
    <w:rsid w:val="004B0763"/>
    <w:rsid w:val="004B11F4"/>
    <w:rsid w:val="004B1E33"/>
    <w:rsid w:val="004B5FC9"/>
    <w:rsid w:val="004B754C"/>
    <w:rsid w:val="004B76C7"/>
    <w:rsid w:val="004B7987"/>
    <w:rsid w:val="004C04F7"/>
    <w:rsid w:val="004C0E4F"/>
    <w:rsid w:val="004C197B"/>
    <w:rsid w:val="004C1ABA"/>
    <w:rsid w:val="004C49E3"/>
    <w:rsid w:val="004C53F3"/>
    <w:rsid w:val="004C775C"/>
    <w:rsid w:val="004D0758"/>
    <w:rsid w:val="004D0863"/>
    <w:rsid w:val="004D1159"/>
    <w:rsid w:val="004D2C06"/>
    <w:rsid w:val="004D3403"/>
    <w:rsid w:val="004D4262"/>
    <w:rsid w:val="004D4A3D"/>
    <w:rsid w:val="004D5AB4"/>
    <w:rsid w:val="004D6017"/>
    <w:rsid w:val="004D6C1E"/>
    <w:rsid w:val="004D76B6"/>
    <w:rsid w:val="004E0FB3"/>
    <w:rsid w:val="004E1F7F"/>
    <w:rsid w:val="004E1FC2"/>
    <w:rsid w:val="004E2301"/>
    <w:rsid w:val="004E23D5"/>
    <w:rsid w:val="004E26DD"/>
    <w:rsid w:val="004E55BD"/>
    <w:rsid w:val="004E5820"/>
    <w:rsid w:val="004E71B6"/>
    <w:rsid w:val="004F04FA"/>
    <w:rsid w:val="004F1991"/>
    <w:rsid w:val="004F1A3A"/>
    <w:rsid w:val="004F46C7"/>
    <w:rsid w:val="004F54D1"/>
    <w:rsid w:val="004F5B5F"/>
    <w:rsid w:val="004F6DD9"/>
    <w:rsid w:val="004F7798"/>
    <w:rsid w:val="00500948"/>
    <w:rsid w:val="00502A54"/>
    <w:rsid w:val="00503543"/>
    <w:rsid w:val="00504189"/>
    <w:rsid w:val="005042E2"/>
    <w:rsid w:val="005049DB"/>
    <w:rsid w:val="00505225"/>
    <w:rsid w:val="005053E3"/>
    <w:rsid w:val="00505BBE"/>
    <w:rsid w:val="00505D10"/>
    <w:rsid w:val="005062A9"/>
    <w:rsid w:val="005069EA"/>
    <w:rsid w:val="005072B3"/>
    <w:rsid w:val="00507825"/>
    <w:rsid w:val="0050795C"/>
    <w:rsid w:val="005108D0"/>
    <w:rsid w:val="00510B18"/>
    <w:rsid w:val="005116CA"/>
    <w:rsid w:val="00512E95"/>
    <w:rsid w:val="005133B1"/>
    <w:rsid w:val="00513477"/>
    <w:rsid w:val="00513A38"/>
    <w:rsid w:val="00513A96"/>
    <w:rsid w:val="00513ABA"/>
    <w:rsid w:val="00513EBB"/>
    <w:rsid w:val="005145A1"/>
    <w:rsid w:val="0051554A"/>
    <w:rsid w:val="0051703F"/>
    <w:rsid w:val="00517A78"/>
    <w:rsid w:val="00517B9F"/>
    <w:rsid w:val="00517CED"/>
    <w:rsid w:val="005206B2"/>
    <w:rsid w:val="0052156B"/>
    <w:rsid w:val="00521860"/>
    <w:rsid w:val="005219F1"/>
    <w:rsid w:val="005225A6"/>
    <w:rsid w:val="005227D3"/>
    <w:rsid w:val="00522ABB"/>
    <w:rsid w:val="00522D3C"/>
    <w:rsid w:val="00523CF0"/>
    <w:rsid w:val="0052447B"/>
    <w:rsid w:val="0052558C"/>
    <w:rsid w:val="00525E95"/>
    <w:rsid w:val="00526039"/>
    <w:rsid w:val="005262CC"/>
    <w:rsid w:val="00527A94"/>
    <w:rsid w:val="00530C4C"/>
    <w:rsid w:val="0053152B"/>
    <w:rsid w:val="0053212D"/>
    <w:rsid w:val="005321C6"/>
    <w:rsid w:val="00533513"/>
    <w:rsid w:val="00533A41"/>
    <w:rsid w:val="00534AD5"/>
    <w:rsid w:val="00535E8F"/>
    <w:rsid w:val="00536015"/>
    <w:rsid w:val="0054020D"/>
    <w:rsid w:val="00540974"/>
    <w:rsid w:val="005414CD"/>
    <w:rsid w:val="0054277F"/>
    <w:rsid w:val="00543231"/>
    <w:rsid w:val="00543806"/>
    <w:rsid w:val="00544AC3"/>
    <w:rsid w:val="00544AEC"/>
    <w:rsid w:val="00551560"/>
    <w:rsid w:val="00552305"/>
    <w:rsid w:val="00552642"/>
    <w:rsid w:val="005527F9"/>
    <w:rsid w:val="00552E61"/>
    <w:rsid w:val="00553570"/>
    <w:rsid w:val="00553B3D"/>
    <w:rsid w:val="0055404D"/>
    <w:rsid w:val="00554127"/>
    <w:rsid w:val="00554D25"/>
    <w:rsid w:val="00554FAB"/>
    <w:rsid w:val="0055609A"/>
    <w:rsid w:val="00556ED0"/>
    <w:rsid w:val="00560F3D"/>
    <w:rsid w:val="00561E5E"/>
    <w:rsid w:val="00562582"/>
    <w:rsid w:val="00564611"/>
    <w:rsid w:val="00565CC2"/>
    <w:rsid w:val="00566D94"/>
    <w:rsid w:val="0057141E"/>
    <w:rsid w:val="005722A8"/>
    <w:rsid w:val="00573DA4"/>
    <w:rsid w:val="00575AC4"/>
    <w:rsid w:val="005763CC"/>
    <w:rsid w:val="00581456"/>
    <w:rsid w:val="005815AE"/>
    <w:rsid w:val="005828B9"/>
    <w:rsid w:val="00583B13"/>
    <w:rsid w:val="00583D7B"/>
    <w:rsid w:val="00584A74"/>
    <w:rsid w:val="00585A1E"/>
    <w:rsid w:val="00586257"/>
    <w:rsid w:val="00590185"/>
    <w:rsid w:val="00590284"/>
    <w:rsid w:val="005903AB"/>
    <w:rsid w:val="00590F7E"/>
    <w:rsid w:val="00591BA4"/>
    <w:rsid w:val="005920D2"/>
    <w:rsid w:val="005930A6"/>
    <w:rsid w:val="0059449D"/>
    <w:rsid w:val="005944F8"/>
    <w:rsid w:val="00594500"/>
    <w:rsid w:val="0059518E"/>
    <w:rsid w:val="00595EAB"/>
    <w:rsid w:val="00596D37"/>
    <w:rsid w:val="00597C3B"/>
    <w:rsid w:val="00597D77"/>
    <w:rsid w:val="00597E16"/>
    <w:rsid w:val="005A0539"/>
    <w:rsid w:val="005A09A1"/>
    <w:rsid w:val="005A0BA2"/>
    <w:rsid w:val="005A1564"/>
    <w:rsid w:val="005A15C2"/>
    <w:rsid w:val="005A2225"/>
    <w:rsid w:val="005A2246"/>
    <w:rsid w:val="005A33B6"/>
    <w:rsid w:val="005A3467"/>
    <w:rsid w:val="005A3512"/>
    <w:rsid w:val="005A36CB"/>
    <w:rsid w:val="005A4986"/>
    <w:rsid w:val="005A4AF2"/>
    <w:rsid w:val="005A5921"/>
    <w:rsid w:val="005A67C4"/>
    <w:rsid w:val="005A6E70"/>
    <w:rsid w:val="005A7031"/>
    <w:rsid w:val="005A7081"/>
    <w:rsid w:val="005A78E4"/>
    <w:rsid w:val="005B0451"/>
    <w:rsid w:val="005B0C66"/>
    <w:rsid w:val="005B0F76"/>
    <w:rsid w:val="005B12A8"/>
    <w:rsid w:val="005B1735"/>
    <w:rsid w:val="005B1BFD"/>
    <w:rsid w:val="005B24DB"/>
    <w:rsid w:val="005B2753"/>
    <w:rsid w:val="005B2DE8"/>
    <w:rsid w:val="005B3268"/>
    <w:rsid w:val="005B3383"/>
    <w:rsid w:val="005B34B5"/>
    <w:rsid w:val="005B3FF0"/>
    <w:rsid w:val="005B4401"/>
    <w:rsid w:val="005B58B5"/>
    <w:rsid w:val="005B5FB5"/>
    <w:rsid w:val="005B69ED"/>
    <w:rsid w:val="005B6C73"/>
    <w:rsid w:val="005B7510"/>
    <w:rsid w:val="005C0381"/>
    <w:rsid w:val="005C1408"/>
    <w:rsid w:val="005C1903"/>
    <w:rsid w:val="005C2576"/>
    <w:rsid w:val="005C2EE0"/>
    <w:rsid w:val="005C3432"/>
    <w:rsid w:val="005C39B6"/>
    <w:rsid w:val="005C3EAA"/>
    <w:rsid w:val="005C4005"/>
    <w:rsid w:val="005C4C4B"/>
    <w:rsid w:val="005C6B2A"/>
    <w:rsid w:val="005C6C2B"/>
    <w:rsid w:val="005C73CF"/>
    <w:rsid w:val="005C7D04"/>
    <w:rsid w:val="005D041E"/>
    <w:rsid w:val="005D0593"/>
    <w:rsid w:val="005D074A"/>
    <w:rsid w:val="005D07F1"/>
    <w:rsid w:val="005D162E"/>
    <w:rsid w:val="005D207D"/>
    <w:rsid w:val="005D2233"/>
    <w:rsid w:val="005D31AF"/>
    <w:rsid w:val="005D400B"/>
    <w:rsid w:val="005D51E7"/>
    <w:rsid w:val="005D59BC"/>
    <w:rsid w:val="005D5CCD"/>
    <w:rsid w:val="005D694E"/>
    <w:rsid w:val="005D6CDD"/>
    <w:rsid w:val="005D7A6C"/>
    <w:rsid w:val="005D7C94"/>
    <w:rsid w:val="005D7F73"/>
    <w:rsid w:val="005E0212"/>
    <w:rsid w:val="005E0481"/>
    <w:rsid w:val="005E16F1"/>
    <w:rsid w:val="005E34C2"/>
    <w:rsid w:val="005E3710"/>
    <w:rsid w:val="005E3AD3"/>
    <w:rsid w:val="005E3ED6"/>
    <w:rsid w:val="005E47C8"/>
    <w:rsid w:val="005E555E"/>
    <w:rsid w:val="005F072E"/>
    <w:rsid w:val="005F10BF"/>
    <w:rsid w:val="005F13A4"/>
    <w:rsid w:val="005F16F6"/>
    <w:rsid w:val="005F183E"/>
    <w:rsid w:val="005F20BD"/>
    <w:rsid w:val="005F5D49"/>
    <w:rsid w:val="005F6742"/>
    <w:rsid w:val="005F6DD1"/>
    <w:rsid w:val="005F7A3A"/>
    <w:rsid w:val="00600316"/>
    <w:rsid w:val="006014A2"/>
    <w:rsid w:val="00601B98"/>
    <w:rsid w:val="00602B20"/>
    <w:rsid w:val="00603041"/>
    <w:rsid w:val="00604D20"/>
    <w:rsid w:val="006053F6"/>
    <w:rsid w:val="0060541F"/>
    <w:rsid w:val="006060A6"/>
    <w:rsid w:val="00606D4C"/>
    <w:rsid w:val="00607C3F"/>
    <w:rsid w:val="006109C2"/>
    <w:rsid w:val="00610DAC"/>
    <w:rsid w:val="006113FC"/>
    <w:rsid w:val="00611AAB"/>
    <w:rsid w:val="00613C0F"/>
    <w:rsid w:val="00613C29"/>
    <w:rsid w:val="006143C1"/>
    <w:rsid w:val="00617266"/>
    <w:rsid w:val="0062031C"/>
    <w:rsid w:val="00620C10"/>
    <w:rsid w:val="00620E15"/>
    <w:rsid w:val="006210EF"/>
    <w:rsid w:val="00621CBC"/>
    <w:rsid w:val="0062212B"/>
    <w:rsid w:val="00622B11"/>
    <w:rsid w:val="00623277"/>
    <w:rsid w:val="00624FE2"/>
    <w:rsid w:val="006251AB"/>
    <w:rsid w:val="00625918"/>
    <w:rsid w:val="006263E4"/>
    <w:rsid w:val="0062661F"/>
    <w:rsid w:val="00630EE2"/>
    <w:rsid w:val="006315E5"/>
    <w:rsid w:val="006315EB"/>
    <w:rsid w:val="0063229B"/>
    <w:rsid w:val="00632391"/>
    <w:rsid w:val="0063394C"/>
    <w:rsid w:val="0063394E"/>
    <w:rsid w:val="00634944"/>
    <w:rsid w:val="00635B7F"/>
    <w:rsid w:val="00635E2D"/>
    <w:rsid w:val="00636C95"/>
    <w:rsid w:val="00640655"/>
    <w:rsid w:val="00641804"/>
    <w:rsid w:val="00641860"/>
    <w:rsid w:val="00642275"/>
    <w:rsid w:val="00642F6A"/>
    <w:rsid w:val="00643EB7"/>
    <w:rsid w:val="006441D7"/>
    <w:rsid w:val="006442D9"/>
    <w:rsid w:val="00646881"/>
    <w:rsid w:val="0064747C"/>
    <w:rsid w:val="006478F1"/>
    <w:rsid w:val="00647E48"/>
    <w:rsid w:val="006516AF"/>
    <w:rsid w:val="00651730"/>
    <w:rsid w:val="00651B04"/>
    <w:rsid w:val="0065237B"/>
    <w:rsid w:val="006536E5"/>
    <w:rsid w:val="00653F12"/>
    <w:rsid w:val="00655B93"/>
    <w:rsid w:val="006579FD"/>
    <w:rsid w:val="00657B41"/>
    <w:rsid w:val="0066081B"/>
    <w:rsid w:val="00660AFD"/>
    <w:rsid w:val="00660B4E"/>
    <w:rsid w:val="00661242"/>
    <w:rsid w:val="0066216C"/>
    <w:rsid w:val="006629CD"/>
    <w:rsid w:val="00663697"/>
    <w:rsid w:val="006639E2"/>
    <w:rsid w:val="006653DF"/>
    <w:rsid w:val="00665588"/>
    <w:rsid w:val="006655E2"/>
    <w:rsid w:val="00667A78"/>
    <w:rsid w:val="00667D40"/>
    <w:rsid w:val="00670EE9"/>
    <w:rsid w:val="0067202F"/>
    <w:rsid w:val="00673185"/>
    <w:rsid w:val="00675778"/>
    <w:rsid w:val="006760EF"/>
    <w:rsid w:val="00676323"/>
    <w:rsid w:val="00676A18"/>
    <w:rsid w:val="00677864"/>
    <w:rsid w:val="00680054"/>
    <w:rsid w:val="00680284"/>
    <w:rsid w:val="00680509"/>
    <w:rsid w:val="00681AAC"/>
    <w:rsid w:val="0068216B"/>
    <w:rsid w:val="00683938"/>
    <w:rsid w:val="00683E0C"/>
    <w:rsid w:val="006846F6"/>
    <w:rsid w:val="00684EC2"/>
    <w:rsid w:val="006855E2"/>
    <w:rsid w:val="00685C15"/>
    <w:rsid w:val="00685E60"/>
    <w:rsid w:val="00686247"/>
    <w:rsid w:val="0068672B"/>
    <w:rsid w:val="00687668"/>
    <w:rsid w:val="0068774C"/>
    <w:rsid w:val="006911EA"/>
    <w:rsid w:val="0069185C"/>
    <w:rsid w:val="00691E7F"/>
    <w:rsid w:val="006924C5"/>
    <w:rsid w:val="00692732"/>
    <w:rsid w:val="00692EEC"/>
    <w:rsid w:val="00694D36"/>
    <w:rsid w:val="00694E84"/>
    <w:rsid w:val="00695DA3"/>
    <w:rsid w:val="006960ED"/>
    <w:rsid w:val="006961C9"/>
    <w:rsid w:val="006966A0"/>
    <w:rsid w:val="00696A23"/>
    <w:rsid w:val="00697708"/>
    <w:rsid w:val="006A0A5E"/>
    <w:rsid w:val="006A4675"/>
    <w:rsid w:val="006A4C0B"/>
    <w:rsid w:val="006A72C1"/>
    <w:rsid w:val="006A74FC"/>
    <w:rsid w:val="006A7CC2"/>
    <w:rsid w:val="006B09FC"/>
    <w:rsid w:val="006B0C60"/>
    <w:rsid w:val="006B3AE9"/>
    <w:rsid w:val="006B4AB0"/>
    <w:rsid w:val="006B5E05"/>
    <w:rsid w:val="006B69DA"/>
    <w:rsid w:val="006B6E60"/>
    <w:rsid w:val="006B7D6A"/>
    <w:rsid w:val="006B7DEA"/>
    <w:rsid w:val="006C0BF4"/>
    <w:rsid w:val="006C16C5"/>
    <w:rsid w:val="006C2380"/>
    <w:rsid w:val="006C23B7"/>
    <w:rsid w:val="006C2904"/>
    <w:rsid w:val="006C3275"/>
    <w:rsid w:val="006C5305"/>
    <w:rsid w:val="006C5939"/>
    <w:rsid w:val="006C6E19"/>
    <w:rsid w:val="006C7671"/>
    <w:rsid w:val="006C7B7A"/>
    <w:rsid w:val="006D087C"/>
    <w:rsid w:val="006D0FFD"/>
    <w:rsid w:val="006D1902"/>
    <w:rsid w:val="006D1A25"/>
    <w:rsid w:val="006D2D4A"/>
    <w:rsid w:val="006D4686"/>
    <w:rsid w:val="006D508A"/>
    <w:rsid w:val="006D5694"/>
    <w:rsid w:val="006D612D"/>
    <w:rsid w:val="006D6670"/>
    <w:rsid w:val="006D6BF6"/>
    <w:rsid w:val="006D70D1"/>
    <w:rsid w:val="006E01AD"/>
    <w:rsid w:val="006E0280"/>
    <w:rsid w:val="006E06E7"/>
    <w:rsid w:val="006E1B18"/>
    <w:rsid w:val="006E38DB"/>
    <w:rsid w:val="006E40AC"/>
    <w:rsid w:val="006E4ADC"/>
    <w:rsid w:val="006E4EEA"/>
    <w:rsid w:val="006E50EE"/>
    <w:rsid w:val="006E6D6F"/>
    <w:rsid w:val="006E796C"/>
    <w:rsid w:val="006E7E39"/>
    <w:rsid w:val="006F077A"/>
    <w:rsid w:val="006F082E"/>
    <w:rsid w:val="006F2413"/>
    <w:rsid w:val="006F2601"/>
    <w:rsid w:val="006F27A7"/>
    <w:rsid w:val="006F2C15"/>
    <w:rsid w:val="006F46C1"/>
    <w:rsid w:val="006F4749"/>
    <w:rsid w:val="006F586F"/>
    <w:rsid w:val="006F62D5"/>
    <w:rsid w:val="0070059D"/>
    <w:rsid w:val="00700847"/>
    <w:rsid w:val="007020DC"/>
    <w:rsid w:val="00702781"/>
    <w:rsid w:val="00702DB6"/>
    <w:rsid w:val="00703010"/>
    <w:rsid w:val="00703A97"/>
    <w:rsid w:val="00703C8A"/>
    <w:rsid w:val="00705596"/>
    <w:rsid w:val="007079E9"/>
    <w:rsid w:val="00711164"/>
    <w:rsid w:val="0071126B"/>
    <w:rsid w:val="007115E0"/>
    <w:rsid w:val="007132B0"/>
    <w:rsid w:val="007143F1"/>
    <w:rsid w:val="007169CD"/>
    <w:rsid w:val="00717138"/>
    <w:rsid w:val="0071728F"/>
    <w:rsid w:val="007176A4"/>
    <w:rsid w:val="00720933"/>
    <w:rsid w:val="00720EE8"/>
    <w:rsid w:val="007210C5"/>
    <w:rsid w:val="00721AD8"/>
    <w:rsid w:val="00721F08"/>
    <w:rsid w:val="00722382"/>
    <w:rsid w:val="007224BC"/>
    <w:rsid w:val="007231B0"/>
    <w:rsid w:val="007241AD"/>
    <w:rsid w:val="00724726"/>
    <w:rsid w:val="00725178"/>
    <w:rsid w:val="0072562F"/>
    <w:rsid w:val="0072616A"/>
    <w:rsid w:val="00726555"/>
    <w:rsid w:val="00726992"/>
    <w:rsid w:val="007278AC"/>
    <w:rsid w:val="0073361B"/>
    <w:rsid w:val="00734715"/>
    <w:rsid w:val="00735662"/>
    <w:rsid w:val="00735BCD"/>
    <w:rsid w:val="00735D29"/>
    <w:rsid w:val="00735DC2"/>
    <w:rsid w:val="00736B58"/>
    <w:rsid w:val="00737774"/>
    <w:rsid w:val="00737C53"/>
    <w:rsid w:val="00740267"/>
    <w:rsid w:val="00740359"/>
    <w:rsid w:val="0074061F"/>
    <w:rsid w:val="00740CB7"/>
    <w:rsid w:val="007416E5"/>
    <w:rsid w:val="0074184E"/>
    <w:rsid w:val="0074263E"/>
    <w:rsid w:val="007428C7"/>
    <w:rsid w:val="00743420"/>
    <w:rsid w:val="00745E3A"/>
    <w:rsid w:val="00746055"/>
    <w:rsid w:val="00746099"/>
    <w:rsid w:val="00747431"/>
    <w:rsid w:val="007477E4"/>
    <w:rsid w:val="00747B61"/>
    <w:rsid w:val="007505B0"/>
    <w:rsid w:val="00751659"/>
    <w:rsid w:val="0075165D"/>
    <w:rsid w:val="00753898"/>
    <w:rsid w:val="00753E4D"/>
    <w:rsid w:val="00755A8B"/>
    <w:rsid w:val="007568EE"/>
    <w:rsid w:val="00756929"/>
    <w:rsid w:val="00757828"/>
    <w:rsid w:val="0076063C"/>
    <w:rsid w:val="00760CE8"/>
    <w:rsid w:val="00761F41"/>
    <w:rsid w:val="007622FA"/>
    <w:rsid w:val="00762669"/>
    <w:rsid w:val="00762BF5"/>
    <w:rsid w:val="00763C96"/>
    <w:rsid w:val="00764302"/>
    <w:rsid w:val="00764E76"/>
    <w:rsid w:val="00766138"/>
    <w:rsid w:val="00766315"/>
    <w:rsid w:val="00767CD1"/>
    <w:rsid w:val="00770030"/>
    <w:rsid w:val="007703D1"/>
    <w:rsid w:val="00770AB2"/>
    <w:rsid w:val="00770F2B"/>
    <w:rsid w:val="00770F93"/>
    <w:rsid w:val="0077231A"/>
    <w:rsid w:val="00772763"/>
    <w:rsid w:val="00775031"/>
    <w:rsid w:val="0077515F"/>
    <w:rsid w:val="007767C3"/>
    <w:rsid w:val="00776940"/>
    <w:rsid w:val="00777275"/>
    <w:rsid w:val="00780503"/>
    <w:rsid w:val="00783DC6"/>
    <w:rsid w:val="00784CE7"/>
    <w:rsid w:val="00787AA0"/>
    <w:rsid w:val="00787CE1"/>
    <w:rsid w:val="00787D40"/>
    <w:rsid w:val="007905EE"/>
    <w:rsid w:val="0079086F"/>
    <w:rsid w:val="00790F06"/>
    <w:rsid w:val="00791AE6"/>
    <w:rsid w:val="00791E0F"/>
    <w:rsid w:val="00792DE1"/>
    <w:rsid w:val="0079559A"/>
    <w:rsid w:val="007958D2"/>
    <w:rsid w:val="00795E06"/>
    <w:rsid w:val="00796E47"/>
    <w:rsid w:val="00797D65"/>
    <w:rsid w:val="00797E25"/>
    <w:rsid w:val="00797E31"/>
    <w:rsid w:val="007A0646"/>
    <w:rsid w:val="007A096E"/>
    <w:rsid w:val="007A1E22"/>
    <w:rsid w:val="007A2307"/>
    <w:rsid w:val="007A261A"/>
    <w:rsid w:val="007A2937"/>
    <w:rsid w:val="007A29FD"/>
    <w:rsid w:val="007A331F"/>
    <w:rsid w:val="007A3FC6"/>
    <w:rsid w:val="007A4456"/>
    <w:rsid w:val="007A57ED"/>
    <w:rsid w:val="007A5976"/>
    <w:rsid w:val="007A5E21"/>
    <w:rsid w:val="007A6E4C"/>
    <w:rsid w:val="007A7AB5"/>
    <w:rsid w:val="007A7F27"/>
    <w:rsid w:val="007B02B5"/>
    <w:rsid w:val="007B0692"/>
    <w:rsid w:val="007B0B8F"/>
    <w:rsid w:val="007B1C49"/>
    <w:rsid w:val="007B2A32"/>
    <w:rsid w:val="007B3DF6"/>
    <w:rsid w:val="007B513F"/>
    <w:rsid w:val="007B6417"/>
    <w:rsid w:val="007B787C"/>
    <w:rsid w:val="007B7A6C"/>
    <w:rsid w:val="007C1996"/>
    <w:rsid w:val="007C3B39"/>
    <w:rsid w:val="007C3DCD"/>
    <w:rsid w:val="007C4231"/>
    <w:rsid w:val="007C4D4C"/>
    <w:rsid w:val="007C56C4"/>
    <w:rsid w:val="007C6C11"/>
    <w:rsid w:val="007C7BC3"/>
    <w:rsid w:val="007D0032"/>
    <w:rsid w:val="007D063B"/>
    <w:rsid w:val="007D0D5E"/>
    <w:rsid w:val="007D12A7"/>
    <w:rsid w:val="007D1B87"/>
    <w:rsid w:val="007D4FF9"/>
    <w:rsid w:val="007D509C"/>
    <w:rsid w:val="007D53DC"/>
    <w:rsid w:val="007D55F6"/>
    <w:rsid w:val="007D568A"/>
    <w:rsid w:val="007D5C9B"/>
    <w:rsid w:val="007D5F99"/>
    <w:rsid w:val="007D72FD"/>
    <w:rsid w:val="007D7480"/>
    <w:rsid w:val="007E02D6"/>
    <w:rsid w:val="007E0462"/>
    <w:rsid w:val="007E0607"/>
    <w:rsid w:val="007E0BE4"/>
    <w:rsid w:val="007E1265"/>
    <w:rsid w:val="007E1F63"/>
    <w:rsid w:val="007E265C"/>
    <w:rsid w:val="007E3861"/>
    <w:rsid w:val="007E45F5"/>
    <w:rsid w:val="007E7DC3"/>
    <w:rsid w:val="007F1735"/>
    <w:rsid w:val="007F1A2D"/>
    <w:rsid w:val="007F260C"/>
    <w:rsid w:val="007F27A7"/>
    <w:rsid w:val="007F5027"/>
    <w:rsid w:val="007F549C"/>
    <w:rsid w:val="007F6588"/>
    <w:rsid w:val="007F73B1"/>
    <w:rsid w:val="007F759C"/>
    <w:rsid w:val="007F760C"/>
    <w:rsid w:val="0080043F"/>
    <w:rsid w:val="00800CC8"/>
    <w:rsid w:val="0080126F"/>
    <w:rsid w:val="00802133"/>
    <w:rsid w:val="0080291E"/>
    <w:rsid w:val="00802E89"/>
    <w:rsid w:val="008048DD"/>
    <w:rsid w:val="00804CC7"/>
    <w:rsid w:val="00804DCD"/>
    <w:rsid w:val="00805366"/>
    <w:rsid w:val="00806DFE"/>
    <w:rsid w:val="00807800"/>
    <w:rsid w:val="00813748"/>
    <w:rsid w:val="00813937"/>
    <w:rsid w:val="00813DBA"/>
    <w:rsid w:val="00813E86"/>
    <w:rsid w:val="008141F3"/>
    <w:rsid w:val="00814838"/>
    <w:rsid w:val="00814C07"/>
    <w:rsid w:val="008175AB"/>
    <w:rsid w:val="00817EB9"/>
    <w:rsid w:val="00821914"/>
    <w:rsid w:val="00821BDB"/>
    <w:rsid w:val="0082538F"/>
    <w:rsid w:val="008279F6"/>
    <w:rsid w:val="00827CFD"/>
    <w:rsid w:val="00827D69"/>
    <w:rsid w:val="00830D31"/>
    <w:rsid w:val="0083188D"/>
    <w:rsid w:val="00831E18"/>
    <w:rsid w:val="00831EBB"/>
    <w:rsid w:val="008323E1"/>
    <w:rsid w:val="00832532"/>
    <w:rsid w:val="00834E19"/>
    <w:rsid w:val="0083589A"/>
    <w:rsid w:val="00836204"/>
    <w:rsid w:val="00840498"/>
    <w:rsid w:val="00840B20"/>
    <w:rsid w:val="00841F2C"/>
    <w:rsid w:val="0084264A"/>
    <w:rsid w:val="0084347C"/>
    <w:rsid w:val="00843490"/>
    <w:rsid w:val="008439E9"/>
    <w:rsid w:val="00843C24"/>
    <w:rsid w:val="00844204"/>
    <w:rsid w:val="00846025"/>
    <w:rsid w:val="00846935"/>
    <w:rsid w:val="00846C0A"/>
    <w:rsid w:val="00846F69"/>
    <w:rsid w:val="00847A0B"/>
    <w:rsid w:val="0085002A"/>
    <w:rsid w:val="008502E9"/>
    <w:rsid w:val="00850941"/>
    <w:rsid w:val="008522B4"/>
    <w:rsid w:val="008547DE"/>
    <w:rsid w:val="008556BF"/>
    <w:rsid w:val="00856598"/>
    <w:rsid w:val="00856F9E"/>
    <w:rsid w:val="00857327"/>
    <w:rsid w:val="008579B5"/>
    <w:rsid w:val="00857A43"/>
    <w:rsid w:val="008601E7"/>
    <w:rsid w:val="00860C38"/>
    <w:rsid w:val="008615DF"/>
    <w:rsid w:val="00861A6E"/>
    <w:rsid w:val="00863BB6"/>
    <w:rsid w:val="00863BDC"/>
    <w:rsid w:val="00863EB8"/>
    <w:rsid w:val="00863EC3"/>
    <w:rsid w:val="00864827"/>
    <w:rsid w:val="00865C74"/>
    <w:rsid w:val="008667A1"/>
    <w:rsid w:val="00866994"/>
    <w:rsid w:val="008670AB"/>
    <w:rsid w:val="008670E7"/>
    <w:rsid w:val="00867A0B"/>
    <w:rsid w:val="008705A8"/>
    <w:rsid w:val="00870C72"/>
    <w:rsid w:val="0087207A"/>
    <w:rsid w:val="00872685"/>
    <w:rsid w:val="00872E21"/>
    <w:rsid w:val="00873E0A"/>
    <w:rsid w:val="00874014"/>
    <w:rsid w:val="00875535"/>
    <w:rsid w:val="0087577C"/>
    <w:rsid w:val="00877CD4"/>
    <w:rsid w:val="0088018A"/>
    <w:rsid w:val="0088032F"/>
    <w:rsid w:val="00881864"/>
    <w:rsid w:val="00882C9E"/>
    <w:rsid w:val="00882F69"/>
    <w:rsid w:val="00882FC1"/>
    <w:rsid w:val="008835D6"/>
    <w:rsid w:val="00883A0C"/>
    <w:rsid w:val="00883DA0"/>
    <w:rsid w:val="00884789"/>
    <w:rsid w:val="008855D3"/>
    <w:rsid w:val="00886797"/>
    <w:rsid w:val="00886C97"/>
    <w:rsid w:val="00886D78"/>
    <w:rsid w:val="00886EAC"/>
    <w:rsid w:val="008920AF"/>
    <w:rsid w:val="008925E9"/>
    <w:rsid w:val="008947FB"/>
    <w:rsid w:val="00896E02"/>
    <w:rsid w:val="00897770"/>
    <w:rsid w:val="00897A8E"/>
    <w:rsid w:val="00897EB4"/>
    <w:rsid w:val="008A0484"/>
    <w:rsid w:val="008A10E5"/>
    <w:rsid w:val="008A1212"/>
    <w:rsid w:val="008A2024"/>
    <w:rsid w:val="008A2947"/>
    <w:rsid w:val="008A2AA5"/>
    <w:rsid w:val="008A4079"/>
    <w:rsid w:val="008A5E11"/>
    <w:rsid w:val="008A646A"/>
    <w:rsid w:val="008A6E0F"/>
    <w:rsid w:val="008B326F"/>
    <w:rsid w:val="008B3634"/>
    <w:rsid w:val="008B71F6"/>
    <w:rsid w:val="008C335B"/>
    <w:rsid w:val="008C4EB6"/>
    <w:rsid w:val="008C5EBC"/>
    <w:rsid w:val="008C60BB"/>
    <w:rsid w:val="008C6838"/>
    <w:rsid w:val="008C77CD"/>
    <w:rsid w:val="008D0692"/>
    <w:rsid w:val="008D097F"/>
    <w:rsid w:val="008D0C27"/>
    <w:rsid w:val="008D0FBB"/>
    <w:rsid w:val="008D11B6"/>
    <w:rsid w:val="008D1BE3"/>
    <w:rsid w:val="008D3E49"/>
    <w:rsid w:val="008D3EA2"/>
    <w:rsid w:val="008D4114"/>
    <w:rsid w:val="008D42BE"/>
    <w:rsid w:val="008D52B8"/>
    <w:rsid w:val="008D641B"/>
    <w:rsid w:val="008D661D"/>
    <w:rsid w:val="008D74CC"/>
    <w:rsid w:val="008D7978"/>
    <w:rsid w:val="008D79F4"/>
    <w:rsid w:val="008E123E"/>
    <w:rsid w:val="008E147B"/>
    <w:rsid w:val="008E1DB5"/>
    <w:rsid w:val="008E221C"/>
    <w:rsid w:val="008E293B"/>
    <w:rsid w:val="008E2A5C"/>
    <w:rsid w:val="008E3A03"/>
    <w:rsid w:val="008E3C51"/>
    <w:rsid w:val="008E4A1F"/>
    <w:rsid w:val="008E6E36"/>
    <w:rsid w:val="008F0611"/>
    <w:rsid w:val="008F062C"/>
    <w:rsid w:val="008F14EC"/>
    <w:rsid w:val="008F1548"/>
    <w:rsid w:val="008F2EB5"/>
    <w:rsid w:val="008F3F06"/>
    <w:rsid w:val="008F460A"/>
    <w:rsid w:val="008F520F"/>
    <w:rsid w:val="008F5BAC"/>
    <w:rsid w:val="008F5C6E"/>
    <w:rsid w:val="008F64AC"/>
    <w:rsid w:val="008F69B7"/>
    <w:rsid w:val="008F74D1"/>
    <w:rsid w:val="008F7EA3"/>
    <w:rsid w:val="0090326D"/>
    <w:rsid w:val="009038C4"/>
    <w:rsid w:val="00904305"/>
    <w:rsid w:val="009049C4"/>
    <w:rsid w:val="009067D9"/>
    <w:rsid w:val="00906D30"/>
    <w:rsid w:val="00906D69"/>
    <w:rsid w:val="0091094A"/>
    <w:rsid w:val="00911D23"/>
    <w:rsid w:val="00912A7D"/>
    <w:rsid w:val="00912B42"/>
    <w:rsid w:val="009138F1"/>
    <w:rsid w:val="00914073"/>
    <w:rsid w:val="009140CB"/>
    <w:rsid w:val="009143AF"/>
    <w:rsid w:val="009144DF"/>
    <w:rsid w:val="0091465A"/>
    <w:rsid w:val="0091580F"/>
    <w:rsid w:val="00916DF5"/>
    <w:rsid w:val="0092070E"/>
    <w:rsid w:val="009209D4"/>
    <w:rsid w:val="00920B97"/>
    <w:rsid w:val="00922D42"/>
    <w:rsid w:val="00922E1B"/>
    <w:rsid w:val="009234C4"/>
    <w:rsid w:val="00924654"/>
    <w:rsid w:val="009246F5"/>
    <w:rsid w:val="00925ABE"/>
    <w:rsid w:val="009264B3"/>
    <w:rsid w:val="0092685B"/>
    <w:rsid w:val="00926CDA"/>
    <w:rsid w:val="00926FB4"/>
    <w:rsid w:val="0092799F"/>
    <w:rsid w:val="009302AD"/>
    <w:rsid w:val="00930640"/>
    <w:rsid w:val="00931BB1"/>
    <w:rsid w:val="00931DDF"/>
    <w:rsid w:val="00931E46"/>
    <w:rsid w:val="009324DF"/>
    <w:rsid w:val="00935124"/>
    <w:rsid w:val="00935383"/>
    <w:rsid w:val="00936C3D"/>
    <w:rsid w:val="009404BC"/>
    <w:rsid w:val="00941F29"/>
    <w:rsid w:val="00942E5A"/>
    <w:rsid w:val="0094318F"/>
    <w:rsid w:val="00943CCA"/>
    <w:rsid w:val="00943F64"/>
    <w:rsid w:val="00944490"/>
    <w:rsid w:val="009458AF"/>
    <w:rsid w:val="009474B1"/>
    <w:rsid w:val="00947B9E"/>
    <w:rsid w:val="00950236"/>
    <w:rsid w:val="00950B1D"/>
    <w:rsid w:val="00953061"/>
    <w:rsid w:val="0095306C"/>
    <w:rsid w:val="00953BB8"/>
    <w:rsid w:val="00953DD6"/>
    <w:rsid w:val="009552DB"/>
    <w:rsid w:val="00955519"/>
    <w:rsid w:val="00956559"/>
    <w:rsid w:val="0095686B"/>
    <w:rsid w:val="00956CF0"/>
    <w:rsid w:val="009571B6"/>
    <w:rsid w:val="00957301"/>
    <w:rsid w:val="00957A3F"/>
    <w:rsid w:val="00957CF8"/>
    <w:rsid w:val="00960937"/>
    <w:rsid w:val="0096247F"/>
    <w:rsid w:val="00962832"/>
    <w:rsid w:val="00962C8A"/>
    <w:rsid w:val="00963897"/>
    <w:rsid w:val="00964496"/>
    <w:rsid w:val="00964843"/>
    <w:rsid w:val="009668B0"/>
    <w:rsid w:val="00966D81"/>
    <w:rsid w:val="00967344"/>
    <w:rsid w:val="00972678"/>
    <w:rsid w:val="009726E5"/>
    <w:rsid w:val="0097294D"/>
    <w:rsid w:val="00974289"/>
    <w:rsid w:val="00974B5E"/>
    <w:rsid w:val="00974D75"/>
    <w:rsid w:val="00975819"/>
    <w:rsid w:val="00975F1B"/>
    <w:rsid w:val="009763F8"/>
    <w:rsid w:val="00976628"/>
    <w:rsid w:val="00976A36"/>
    <w:rsid w:val="00977649"/>
    <w:rsid w:val="0098032F"/>
    <w:rsid w:val="0098121C"/>
    <w:rsid w:val="00981C99"/>
    <w:rsid w:val="00984E79"/>
    <w:rsid w:val="00985C6A"/>
    <w:rsid w:val="00985F47"/>
    <w:rsid w:val="009868F6"/>
    <w:rsid w:val="009871B1"/>
    <w:rsid w:val="00987EB5"/>
    <w:rsid w:val="0099036C"/>
    <w:rsid w:val="00990BB1"/>
    <w:rsid w:val="00991497"/>
    <w:rsid w:val="00991D6C"/>
    <w:rsid w:val="009921AC"/>
    <w:rsid w:val="0099273B"/>
    <w:rsid w:val="0099282A"/>
    <w:rsid w:val="00993527"/>
    <w:rsid w:val="00993916"/>
    <w:rsid w:val="00994E01"/>
    <w:rsid w:val="00994F49"/>
    <w:rsid w:val="00994F79"/>
    <w:rsid w:val="009955A6"/>
    <w:rsid w:val="00995E7B"/>
    <w:rsid w:val="00996A3E"/>
    <w:rsid w:val="00997790"/>
    <w:rsid w:val="00997F34"/>
    <w:rsid w:val="009A0291"/>
    <w:rsid w:val="009A13A8"/>
    <w:rsid w:val="009A14C9"/>
    <w:rsid w:val="009A2720"/>
    <w:rsid w:val="009A2B1E"/>
    <w:rsid w:val="009A2D10"/>
    <w:rsid w:val="009A3E43"/>
    <w:rsid w:val="009A3EB9"/>
    <w:rsid w:val="009A450A"/>
    <w:rsid w:val="009A4F05"/>
    <w:rsid w:val="009A562C"/>
    <w:rsid w:val="009A6281"/>
    <w:rsid w:val="009A7171"/>
    <w:rsid w:val="009B04DC"/>
    <w:rsid w:val="009B1F71"/>
    <w:rsid w:val="009B2368"/>
    <w:rsid w:val="009B297D"/>
    <w:rsid w:val="009B321C"/>
    <w:rsid w:val="009B38EF"/>
    <w:rsid w:val="009B4224"/>
    <w:rsid w:val="009B45AF"/>
    <w:rsid w:val="009B47F3"/>
    <w:rsid w:val="009B4BFB"/>
    <w:rsid w:val="009B57E5"/>
    <w:rsid w:val="009B5C21"/>
    <w:rsid w:val="009C07CF"/>
    <w:rsid w:val="009C13C8"/>
    <w:rsid w:val="009C14A9"/>
    <w:rsid w:val="009C1684"/>
    <w:rsid w:val="009C206F"/>
    <w:rsid w:val="009C20E0"/>
    <w:rsid w:val="009C2B92"/>
    <w:rsid w:val="009C3918"/>
    <w:rsid w:val="009C39AE"/>
    <w:rsid w:val="009C4D72"/>
    <w:rsid w:val="009C4DF5"/>
    <w:rsid w:val="009C4EAE"/>
    <w:rsid w:val="009C68CD"/>
    <w:rsid w:val="009C7D14"/>
    <w:rsid w:val="009D02ED"/>
    <w:rsid w:val="009D06E6"/>
    <w:rsid w:val="009D0B4C"/>
    <w:rsid w:val="009D22A3"/>
    <w:rsid w:val="009D2AB5"/>
    <w:rsid w:val="009D2F18"/>
    <w:rsid w:val="009D33EE"/>
    <w:rsid w:val="009D3BA6"/>
    <w:rsid w:val="009D4D5E"/>
    <w:rsid w:val="009D4F46"/>
    <w:rsid w:val="009D564F"/>
    <w:rsid w:val="009D5EBA"/>
    <w:rsid w:val="009D63F1"/>
    <w:rsid w:val="009D7373"/>
    <w:rsid w:val="009D774B"/>
    <w:rsid w:val="009E061D"/>
    <w:rsid w:val="009E0930"/>
    <w:rsid w:val="009E1D3A"/>
    <w:rsid w:val="009E1FAD"/>
    <w:rsid w:val="009E3884"/>
    <w:rsid w:val="009E3CE2"/>
    <w:rsid w:val="009E4E0E"/>
    <w:rsid w:val="009E6179"/>
    <w:rsid w:val="009E66E4"/>
    <w:rsid w:val="009E7668"/>
    <w:rsid w:val="009F0C25"/>
    <w:rsid w:val="009F0D95"/>
    <w:rsid w:val="009F0DBA"/>
    <w:rsid w:val="009F259B"/>
    <w:rsid w:val="009F3E2D"/>
    <w:rsid w:val="009F47E4"/>
    <w:rsid w:val="009F524E"/>
    <w:rsid w:val="00A00482"/>
    <w:rsid w:val="00A00986"/>
    <w:rsid w:val="00A015F2"/>
    <w:rsid w:val="00A03706"/>
    <w:rsid w:val="00A05F86"/>
    <w:rsid w:val="00A06B87"/>
    <w:rsid w:val="00A07608"/>
    <w:rsid w:val="00A07F4D"/>
    <w:rsid w:val="00A10064"/>
    <w:rsid w:val="00A11154"/>
    <w:rsid w:val="00A12336"/>
    <w:rsid w:val="00A128F5"/>
    <w:rsid w:val="00A12AC1"/>
    <w:rsid w:val="00A12E28"/>
    <w:rsid w:val="00A134E0"/>
    <w:rsid w:val="00A141AE"/>
    <w:rsid w:val="00A14D22"/>
    <w:rsid w:val="00A151E3"/>
    <w:rsid w:val="00A15202"/>
    <w:rsid w:val="00A15558"/>
    <w:rsid w:val="00A15E8F"/>
    <w:rsid w:val="00A15EF6"/>
    <w:rsid w:val="00A1687C"/>
    <w:rsid w:val="00A20009"/>
    <w:rsid w:val="00A20251"/>
    <w:rsid w:val="00A20FC6"/>
    <w:rsid w:val="00A21DD4"/>
    <w:rsid w:val="00A2239A"/>
    <w:rsid w:val="00A2297A"/>
    <w:rsid w:val="00A243AD"/>
    <w:rsid w:val="00A25268"/>
    <w:rsid w:val="00A254A7"/>
    <w:rsid w:val="00A25A8E"/>
    <w:rsid w:val="00A25AD4"/>
    <w:rsid w:val="00A27F12"/>
    <w:rsid w:val="00A300B1"/>
    <w:rsid w:val="00A31824"/>
    <w:rsid w:val="00A32636"/>
    <w:rsid w:val="00A33020"/>
    <w:rsid w:val="00A346D8"/>
    <w:rsid w:val="00A36962"/>
    <w:rsid w:val="00A37036"/>
    <w:rsid w:val="00A37855"/>
    <w:rsid w:val="00A4013E"/>
    <w:rsid w:val="00A41381"/>
    <w:rsid w:val="00A416AC"/>
    <w:rsid w:val="00A41DD3"/>
    <w:rsid w:val="00A42987"/>
    <w:rsid w:val="00A43881"/>
    <w:rsid w:val="00A43DA8"/>
    <w:rsid w:val="00A44C6F"/>
    <w:rsid w:val="00A44FC1"/>
    <w:rsid w:val="00A45118"/>
    <w:rsid w:val="00A45433"/>
    <w:rsid w:val="00A4571F"/>
    <w:rsid w:val="00A46096"/>
    <w:rsid w:val="00A477FE"/>
    <w:rsid w:val="00A47EE7"/>
    <w:rsid w:val="00A503DB"/>
    <w:rsid w:val="00A509D8"/>
    <w:rsid w:val="00A51127"/>
    <w:rsid w:val="00A513E5"/>
    <w:rsid w:val="00A51F75"/>
    <w:rsid w:val="00A52C59"/>
    <w:rsid w:val="00A53946"/>
    <w:rsid w:val="00A53CAD"/>
    <w:rsid w:val="00A53FA5"/>
    <w:rsid w:val="00A54CE2"/>
    <w:rsid w:val="00A557C9"/>
    <w:rsid w:val="00A55F5C"/>
    <w:rsid w:val="00A56960"/>
    <w:rsid w:val="00A56B8F"/>
    <w:rsid w:val="00A57044"/>
    <w:rsid w:val="00A57393"/>
    <w:rsid w:val="00A5799F"/>
    <w:rsid w:val="00A603C1"/>
    <w:rsid w:val="00A60411"/>
    <w:rsid w:val="00A60B54"/>
    <w:rsid w:val="00A60E1F"/>
    <w:rsid w:val="00A611CF"/>
    <w:rsid w:val="00A615FF"/>
    <w:rsid w:val="00A61A8A"/>
    <w:rsid w:val="00A630C5"/>
    <w:rsid w:val="00A63B51"/>
    <w:rsid w:val="00A651B1"/>
    <w:rsid w:val="00A657AA"/>
    <w:rsid w:val="00A659A7"/>
    <w:rsid w:val="00A6605D"/>
    <w:rsid w:val="00A67231"/>
    <w:rsid w:val="00A67956"/>
    <w:rsid w:val="00A67B55"/>
    <w:rsid w:val="00A67C0A"/>
    <w:rsid w:val="00A700AA"/>
    <w:rsid w:val="00A71847"/>
    <w:rsid w:val="00A71FCC"/>
    <w:rsid w:val="00A73014"/>
    <w:rsid w:val="00A73E0F"/>
    <w:rsid w:val="00A74D0E"/>
    <w:rsid w:val="00A74EFB"/>
    <w:rsid w:val="00A75A61"/>
    <w:rsid w:val="00A75FA2"/>
    <w:rsid w:val="00A7625C"/>
    <w:rsid w:val="00A7637E"/>
    <w:rsid w:val="00A77824"/>
    <w:rsid w:val="00A77C41"/>
    <w:rsid w:val="00A77F1B"/>
    <w:rsid w:val="00A80A0D"/>
    <w:rsid w:val="00A80B05"/>
    <w:rsid w:val="00A80F83"/>
    <w:rsid w:val="00A8132E"/>
    <w:rsid w:val="00A8151A"/>
    <w:rsid w:val="00A8182E"/>
    <w:rsid w:val="00A81976"/>
    <w:rsid w:val="00A8358F"/>
    <w:rsid w:val="00A83B3A"/>
    <w:rsid w:val="00A83FB2"/>
    <w:rsid w:val="00A85CB2"/>
    <w:rsid w:val="00A8789E"/>
    <w:rsid w:val="00A90522"/>
    <w:rsid w:val="00A90D8D"/>
    <w:rsid w:val="00A91C51"/>
    <w:rsid w:val="00A9448A"/>
    <w:rsid w:val="00A9482B"/>
    <w:rsid w:val="00A95172"/>
    <w:rsid w:val="00A953A3"/>
    <w:rsid w:val="00A95575"/>
    <w:rsid w:val="00A95C37"/>
    <w:rsid w:val="00A96935"/>
    <w:rsid w:val="00A96A32"/>
    <w:rsid w:val="00A96AA8"/>
    <w:rsid w:val="00A96B01"/>
    <w:rsid w:val="00A96CA8"/>
    <w:rsid w:val="00AA0693"/>
    <w:rsid w:val="00AA134B"/>
    <w:rsid w:val="00AA148F"/>
    <w:rsid w:val="00AA1B52"/>
    <w:rsid w:val="00AA20C1"/>
    <w:rsid w:val="00AA21DA"/>
    <w:rsid w:val="00AA25AD"/>
    <w:rsid w:val="00AA329A"/>
    <w:rsid w:val="00AA3A12"/>
    <w:rsid w:val="00AA3BD4"/>
    <w:rsid w:val="00AA3E91"/>
    <w:rsid w:val="00AA468A"/>
    <w:rsid w:val="00AA48F0"/>
    <w:rsid w:val="00AA4992"/>
    <w:rsid w:val="00AA4B57"/>
    <w:rsid w:val="00AA66CB"/>
    <w:rsid w:val="00AA6D4C"/>
    <w:rsid w:val="00AA725B"/>
    <w:rsid w:val="00AA785D"/>
    <w:rsid w:val="00AB2236"/>
    <w:rsid w:val="00AB2485"/>
    <w:rsid w:val="00AB2DF2"/>
    <w:rsid w:val="00AB4C05"/>
    <w:rsid w:val="00AB4D8B"/>
    <w:rsid w:val="00AB5127"/>
    <w:rsid w:val="00AB5DA6"/>
    <w:rsid w:val="00AB605A"/>
    <w:rsid w:val="00AB6D66"/>
    <w:rsid w:val="00AB6DC9"/>
    <w:rsid w:val="00AB7D33"/>
    <w:rsid w:val="00AC0199"/>
    <w:rsid w:val="00AC1856"/>
    <w:rsid w:val="00AC233D"/>
    <w:rsid w:val="00AC330F"/>
    <w:rsid w:val="00AC346F"/>
    <w:rsid w:val="00AC4472"/>
    <w:rsid w:val="00AC5762"/>
    <w:rsid w:val="00AC5C36"/>
    <w:rsid w:val="00AC5E83"/>
    <w:rsid w:val="00AC6907"/>
    <w:rsid w:val="00AC6B4B"/>
    <w:rsid w:val="00AC7626"/>
    <w:rsid w:val="00AD0827"/>
    <w:rsid w:val="00AD0DBA"/>
    <w:rsid w:val="00AD0E04"/>
    <w:rsid w:val="00AD1B5F"/>
    <w:rsid w:val="00AD2146"/>
    <w:rsid w:val="00AD214F"/>
    <w:rsid w:val="00AD22C1"/>
    <w:rsid w:val="00AD2401"/>
    <w:rsid w:val="00AD30FE"/>
    <w:rsid w:val="00AD3E57"/>
    <w:rsid w:val="00AD4186"/>
    <w:rsid w:val="00AD47D6"/>
    <w:rsid w:val="00AD503F"/>
    <w:rsid w:val="00AD50F8"/>
    <w:rsid w:val="00AD777A"/>
    <w:rsid w:val="00AE1553"/>
    <w:rsid w:val="00AE386F"/>
    <w:rsid w:val="00AE38D5"/>
    <w:rsid w:val="00AE41FB"/>
    <w:rsid w:val="00AE4310"/>
    <w:rsid w:val="00AE47B3"/>
    <w:rsid w:val="00AE4F64"/>
    <w:rsid w:val="00AE5062"/>
    <w:rsid w:val="00AE5E93"/>
    <w:rsid w:val="00AE62E8"/>
    <w:rsid w:val="00AE67F6"/>
    <w:rsid w:val="00AE712B"/>
    <w:rsid w:val="00AE7922"/>
    <w:rsid w:val="00AE7E2E"/>
    <w:rsid w:val="00AF2A44"/>
    <w:rsid w:val="00AF2A90"/>
    <w:rsid w:val="00AF2F05"/>
    <w:rsid w:val="00AF3671"/>
    <w:rsid w:val="00AF399D"/>
    <w:rsid w:val="00AF5170"/>
    <w:rsid w:val="00AF53DE"/>
    <w:rsid w:val="00AF6656"/>
    <w:rsid w:val="00AF68EA"/>
    <w:rsid w:val="00AF6BC6"/>
    <w:rsid w:val="00AF76E2"/>
    <w:rsid w:val="00B00498"/>
    <w:rsid w:val="00B01151"/>
    <w:rsid w:val="00B02ABA"/>
    <w:rsid w:val="00B03781"/>
    <w:rsid w:val="00B04222"/>
    <w:rsid w:val="00B05645"/>
    <w:rsid w:val="00B05F79"/>
    <w:rsid w:val="00B06D88"/>
    <w:rsid w:val="00B07559"/>
    <w:rsid w:val="00B10946"/>
    <w:rsid w:val="00B10B0F"/>
    <w:rsid w:val="00B114A0"/>
    <w:rsid w:val="00B11E3A"/>
    <w:rsid w:val="00B1231B"/>
    <w:rsid w:val="00B1241F"/>
    <w:rsid w:val="00B139B2"/>
    <w:rsid w:val="00B142F7"/>
    <w:rsid w:val="00B14C18"/>
    <w:rsid w:val="00B14E4B"/>
    <w:rsid w:val="00B16AE0"/>
    <w:rsid w:val="00B16FB4"/>
    <w:rsid w:val="00B204D3"/>
    <w:rsid w:val="00B211AB"/>
    <w:rsid w:val="00B21241"/>
    <w:rsid w:val="00B221E8"/>
    <w:rsid w:val="00B223F0"/>
    <w:rsid w:val="00B23175"/>
    <w:rsid w:val="00B24A84"/>
    <w:rsid w:val="00B30788"/>
    <w:rsid w:val="00B3200F"/>
    <w:rsid w:val="00B32C85"/>
    <w:rsid w:val="00B32EA8"/>
    <w:rsid w:val="00B330E7"/>
    <w:rsid w:val="00B335EE"/>
    <w:rsid w:val="00B36C61"/>
    <w:rsid w:val="00B37B55"/>
    <w:rsid w:val="00B40D0D"/>
    <w:rsid w:val="00B43CA1"/>
    <w:rsid w:val="00B44040"/>
    <w:rsid w:val="00B44F7B"/>
    <w:rsid w:val="00B507B9"/>
    <w:rsid w:val="00B51EBA"/>
    <w:rsid w:val="00B54789"/>
    <w:rsid w:val="00B55457"/>
    <w:rsid w:val="00B556FE"/>
    <w:rsid w:val="00B557E9"/>
    <w:rsid w:val="00B5656B"/>
    <w:rsid w:val="00B57E62"/>
    <w:rsid w:val="00B612FD"/>
    <w:rsid w:val="00B613D6"/>
    <w:rsid w:val="00B615F1"/>
    <w:rsid w:val="00B631BB"/>
    <w:rsid w:val="00B65EE9"/>
    <w:rsid w:val="00B66296"/>
    <w:rsid w:val="00B662EC"/>
    <w:rsid w:val="00B66454"/>
    <w:rsid w:val="00B672D8"/>
    <w:rsid w:val="00B676B0"/>
    <w:rsid w:val="00B67767"/>
    <w:rsid w:val="00B67CE7"/>
    <w:rsid w:val="00B70444"/>
    <w:rsid w:val="00B7049F"/>
    <w:rsid w:val="00B70B87"/>
    <w:rsid w:val="00B715CD"/>
    <w:rsid w:val="00B71EA7"/>
    <w:rsid w:val="00B72255"/>
    <w:rsid w:val="00B72C7C"/>
    <w:rsid w:val="00B72D16"/>
    <w:rsid w:val="00B73003"/>
    <w:rsid w:val="00B73B0C"/>
    <w:rsid w:val="00B7513D"/>
    <w:rsid w:val="00B754E9"/>
    <w:rsid w:val="00B76E32"/>
    <w:rsid w:val="00B7763F"/>
    <w:rsid w:val="00B81401"/>
    <w:rsid w:val="00B81753"/>
    <w:rsid w:val="00B82B6A"/>
    <w:rsid w:val="00B8374E"/>
    <w:rsid w:val="00B84C67"/>
    <w:rsid w:val="00B8794F"/>
    <w:rsid w:val="00B90D91"/>
    <w:rsid w:val="00B92876"/>
    <w:rsid w:val="00B93843"/>
    <w:rsid w:val="00B93940"/>
    <w:rsid w:val="00B940F3"/>
    <w:rsid w:val="00B94D06"/>
    <w:rsid w:val="00B9536E"/>
    <w:rsid w:val="00B95561"/>
    <w:rsid w:val="00B95B26"/>
    <w:rsid w:val="00B95DB4"/>
    <w:rsid w:val="00B979FB"/>
    <w:rsid w:val="00B97E86"/>
    <w:rsid w:val="00BA0E4E"/>
    <w:rsid w:val="00BA2E68"/>
    <w:rsid w:val="00BA3D31"/>
    <w:rsid w:val="00BA4800"/>
    <w:rsid w:val="00BA4AB1"/>
    <w:rsid w:val="00BA4D60"/>
    <w:rsid w:val="00BA5046"/>
    <w:rsid w:val="00BA5544"/>
    <w:rsid w:val="00BA5564"/>
    <w:rsid w:val="00BA6004"/>
    <w:rsid w:val="00BB1358"/>
    <w:rsid w:val="00BB2082"/>
    <w:rsid w:val="00BB5BD7"/>
    <w:rsid w:val="00BB6440"/>
    <w:rsid w:val="00BB7486"/>
    <w:rsid w:val="00BB76B0"/>
    <w:rsid w:val="00BC0C32"/>
    <w:rsid w:val="00BC16CC"/>
    <w:rsid w:val="00BC2659"/>
    <w:rsid w:val="00BC2FDD"/>
    <w:rsid w:val="00BC39D8"/>
    <w:rsid w:val="00BC4447"/>
    <w:rsid w:val="00BC5783"/>
    <w:rsid w:val="00BC5EBD"/>
    <w:rsid w:val="00BC6F32"/>
    <w:rsid w:val="00BC70EB"/>
    <w:rsid w:val="00BD0025"/>
    <w:rsid w:val="00BD04ED"/>
    <w:rsid w:val="00BD3A7D"/>
    <w:rsid w:val="00BD3D4D"/>
    <w:rsid w:val="00BD6E6A"/>
    <w:rsid w:val="00BD7217"/>
    <w:rsid w:val="00BE036B"/>
    <w:rsid w:val="00BE0816"/>
    <w:rsid w:val="00BE1B8B"/>
    <w:rsid w:val="00BE1D43"/>
    <w:rsid w:val="00BE2525"/>
    <w:rsid w:val="00BE27DD"/>
    <w:rsid w:val="00BE2920"/>
    <w:rsid w:val="00BE2AA3"/>
    <w:rsid w:val="00BE33D4"/>
    <w:rsid w:val="00BE355D"/>
    <w:rsid w:val="00BE35D1"/>
    <w:rsid w:val="00BE36E2"/>
    <w:rsid w:val="00BF01C9"/>
    <w:rsid w:val="00BF03C6"/>
    <w:rsid w:val="00BF0B87"/>
    <w:rsid w:val="00BF0F53"/>
    <w:rsid w:val="00BF249C"/>
    <w:rsid w:val="00BF2747"/>
    <w:rsid w:val="00BF3804"/>
    <w:rsid w:val="00BF3B81"/>
    <w:rsid w:val="00BF41B2"/>
    <w:rsid w:val="00BF5947"/>
    <w:rsid w:val="00BF6531"/>
    <w:rsid w:val="00BF664C"/>
    <w:rsid w:val="00BF72A6"/>
    <w:rsid w:val="00BF7CFA"/>
    <w:rsid w:val="00C006A5"/>
    <w:rsid w:val="00C00F05"/>
    <w:rsid w:val="00C01642"/>
    <w:rsid w:val="00C01E38"/>
    <w:rsid w:val="00C02230"/>
    <w:rsid w:val="00C02313"/>
    <w:rsid w:val="00C02581"/>
    <w:rsid w:val="00C029BD"/>
    <w:rsid w:val="00C02D81"/>
    <w:rsid w:val="00C0378A"/>
    <w:rsid w:val="00C03DBB"/>
    <w:rsid w:val="00C05F01"/>
    <w:rsid w:val="00C05FDA"/>
    <w:rsid w:val="00C077F9"/>
    <w:rsid w:val="00C1071B"/>
    <w:rsid w:val="00C110C0"/>
    <w:rsid w:val="00C12867"/>
    <w:rsid w:val="00C13154"/>
    <w:rsid w:val="00C135CF"/>
    <w:rsid w:val="00C14639"/>
    <w:rsid w:val="00C14F55"/>
    <w:rsid w:val="00C164A2"/>
    <w:rsid w:val="00C209A0"/>
    <w:rsid w:val="00C21257"/>
    <w:rsid w:val="00C2130D"/>
    <w:rsid w:val="00C21737"/>
    <w:rsid w:val="00C2188B"/>
    <w:rsid w:val="00C21D85"/>
    <w:rsid w:val="00C22356"/>
    <w:rsid w:val="00C22540"/>
    <w:rsid w:val="00C22A9B"/>
    <w:rsid w:val="00C24A5B"/>
    <w:rsid w:val="00C24C35"/>
    <w:rsid w:val="00C252F3"/>
    <w:rsid w:val="00C25A0B"/>
    <w:rsid w:val="00C26C42"/>
    <w:rsid w:val="00C274EA"/>
    <w:rsid w:val="00C274EB"/>
    <w:rsid w:val="00C27B74"/>
    <w:rsid w:val="00C3207A"/>
    <w:rsid w:val="00C32232"/>
    <w:rsid w:val="00C346CE"/>
    <w:rsid w:val="00C35469"/>
    <w:rsid w:val="00C356C8"/>
    <w:rsid w:val="00C356EC"/>
    <w:rsid w:val="00C36CED"/>
    <w:rsid w:val="00C40155"/>
    <w:rsid w:val="00C4164B"/>
    <w:rsid w:val="00C4215C"/>
    <w:rsid w:val="00C43FAE"/>
    <w:rsid w:val="00C4492A"/>
    <w:rsid w:val="00C44976"/>
    <w:rsid w:val="00C464C0"/>
    <w:rsid w:val="00C46CB3"/>
    <w:rsid w:val="00C509CF"/>
    <w:rsid w:val="00C52699"/>
    <w:rsid w:val="00C52D7E"/>
    <w:rsid w:val="00C53321"/>
    <w:rsid w:val="00C53485"/>
    <w:rsid w:val="00C54AA6"/>
    <w:rsid w:val="00C570D8"/>
    <w:rsid w:val="00C57579"/>
    <w:rsid w:val="00C57A1D"/>
    <w:rsid w:val="00C60660"/>
    <w:rsid w:val="00C60C7D"/>
    <w:rsid w:val="00C60FA9"/>
    <w:rsid w:val="00C619E1"/>
    <w:rsid w:val="00C656B9"/>
    <w:rsid w:val="00C66121"/>
    <w:rsid w:val="00C66261"/>
    <w:rsid w:val="00C66470"/>
    <w:rsid w:val="00C673EC"/>
    <w:rsid w:val="00C67431"/>
    <w:rsid w:val="00C67648"/>
    <w:rsid w:val="00C67A80"/>
    <w:rsid w:val="00C67AEF"/>
    <w:rsid w:val="00C70589"/>
    <w:rsid w:val="00C7062E"/>
    <w:rsid w:val="00C7089C"/>
    <w:rsid w:val="00C70E15"/>
    <w:rsid w:val="00C71D3C"/>
    <w:rsid w:val="00C71FC9"/>
    <w:rsid w:val="00C722C2"/>
    <w:rsid w:val="00C72388"/>
    <w:rsid w:val="00C73298"/>
    <w:rsid w:val="00C73412"/>
    <w:rsid w:val="00C736CD"/>
    <w:rsid w:val="00C73E70"/>
    <w:rsid w:val="00C74FA4"/>
    <w:rsid w:val="00C76666"/>
    <w:rsid w:val="00C768C8"/>
    <w:rsid w:val="00C77F05"/>
    <w:rsid w:val="00C8060E"/>
    <w:rsid w:val="00C817B6"/>
    <w:rsid w:val="00C81F83"/>
    <w:rsid w:val="00C82346"/>
    <w:rsid w:val="00C83171"/>
    <w:rsid w:val="00C8386D"/>
    <w:rsid w:val="00C8491E"/>
    <w:rsid w:val="00C849F0"/>
    <w:rsid w:val="00C84D77"/>
    <w:rsid w:val="00C85226"/>
    <w:rsid w:val="00C86592"/>
    <w:rsid w:val="00C87292"/>
    <w:rsid w:val="00C87D8D"/>
    <w:rsid w:val="00C90E6D"/>
    <w:rsid w:val="00C91838"/>
    <w:rsid w:val="00C92431"/>
    <w:rsid w:val="00C92610"/>
    <w:rsid w:val="00C92A25"/>
    <w:rsid w:val="00C951B8"/>
    <w:rsid w:val="00C95615"/>
    <w:rsid w:val="00C962A3"/>
    <w:rsid w:val="00C967B9"/>
    <w:rsid w:val="00C96A92"/>
    <w:rsid w:val="00C971D1"/>
    <w:rsid w:val="00CA005D"/>
    <w:rsid w:val="00CA0ABB"/>
    <w:rsid w:val="00CA1285"/>
    <w:rsid w:val="00CA3855"/>
    <w:rsid w:val="00CA5158"/>
    <w:rsid w:val="00CA5172"/>
    <w:rsid w:val="00CA7173"/>
    <w:rsid w:val="00CB0BFA"/>
    <w:rsid w:val="00CB1B29"/>
    <w:rsid w:val="00CB2149"/>
    <w:rsid w:val="00CB23FB"/>
    <w:rsid w:val="00CB3890"/>
    <w:rsid w:val="00CB38EB"/>
    <w:rsid w:val="00CB3E7F"/>
    <w:rsid w:val="00CB41DD"/>
    <w:rsid w:val="00CB46D7"/>
    <w:rsid w:val="00CB7288"/>
    <w:rsid w:val="00CB76E1"/>
    <w:rsid w:val="00CB7F52"/>
    <w:rsid w:val="00CC04CC"/>
    <w:rsid w:val="00CC3626"/>
    <w:rsid w:val="00CC369B"/>
    <w:rsid w:val="00CC464B"/>
    <w:rsid w:val="00CC5E94"/>
    <w:rsid w:val="00CC61BD"/>
    <w:rsid w:val="00CC64DB"/>
    <w:rsid w:val="00CC6C7A"/>
    <w:rsid w:val="00CC7025"/>
    <w:rsid w:val="00CC71A7"/>
    <w:rsid w:val="00CD008B"/>
    <w:rsid w:val="00CD0B15"/>
    <w:rsid w:val="00CD2F74"/>
    <w:rsid w:val="00CD44D6"/>
    <w:rsid w:val="00CD4583"/>
    <w:rsid w:val="00CD5566"/>
    <w:rsid w:val="00CD58F7"/>
    <w:rsid w:val="00CD59C3"/>
    <w:rsid w:val="00CD5CC6"/>
    <w:rsid w:val="00CD64D8"/>
    <w:rsid w:val="00CD6B73"/>
    <w:rsid w:val="00CD7230"/>
    <w:rsid w:val="00CD7663"/>
    <w:rsid w:val="00CD7F68"/>
    <w:rsid w:val="00CE0389"/>
    <w:rsid w:val="00CE0F68"/>
    <w:rsid w:val="00CE1744"/>
    <w:rsid w:val="00CE1ECF"/>
    <w:rsid w:val="00CE2764"/>
    <w:rsid w:val="00CE2817"/>
    <w:rsid w:val="00CE2E80"/>
    <w:rsid w:val="00CE3456"/>
    <w:rsid w:val="00CE354B"/>
    <w:rsid w:val="00CE35D5"/>
    <w:rsid w:val="00CE43F8"/>
    <w:rsid w:val="00CE523A"/>
    <w:rsid w:val="00CE717C"/>
    <w:rsid w:val="00CE772F"/>
    <w:rsid w:val="00CE7CB9"/>
    <w:rsid w:val="00CF00D0"/>
    <w:rsid w:val="00CF13F8"/>
    <w:rsid w:val="00CF213C"/>
    <w:rsid w:val="00CF2320"/>
    <w:rsid w:val="00CF27F4"/>
    <w:rsid w:val="00CF3239"/>
    <w:rsid w:val="00CF345F"/>
    <w:rsid w:val="00CF4AE9"/>
    <w:rsid w:val="00CF4B3B"/>
    <w:rsid w:val="00CF65A3"/>
    <w:rsid w:val="00CF715E"/>
    <w:rsid w:val="00CF71D4"/>
    <w:rsid w:val="00D0098C"/>
    <w:rsid w:val="00D009F0"/>
    <w:rsid w:val="00D016B2"/>
    <w:rsid w:val="00D017E0"/>
    <w:rsid w:val="00D01FBB"/>
    <w:rsid w:val="00D0228A"/>
    <w:rsid w:val="00D02A25"/>
    <w:rsid w:val="00D04BA4"/>
    <w:rsid w:val="00D054F4"/>
    <w:rsid w:val="00D06779"/>
    <w:rsid w:val="00D068B8"/>
    <w:rsid w:val="00D06BCA"/>
    <w:rsid w:val="00D06F4F"/>
    <w:rsid w:val="00D0761D"/>
    <w:rsid w:val="00D07DD5"/>
    <w:rsid w:val="00D11709"/>
    <w:rsid w:val="00D12891"/>
    <w:rsid w:val="00D1382F"/>
    <w:rsid w:val="00D13DC2"/>
    <w:rsid w:val="00D13E59"/>
    <w:rsid w:val="00D145C3"/>
    <w:rsid w:val="00D154B1"/>
    <w:rsid w:val="00D156EF"/>
    <w:rsid w:val="00D17A5C"/>
    <w:rsid w:val="00D20137"/>
    <w:rsid w:val="00D202BE"/>
    <w:rsid w:val="00D20DDD"/>
    <w:rsid w:val="00D21DE6"/>
    <w:rsid w:val="00D220CC"/>
    <w:rsid w:val="00D22E81"/>
    <w:rsid w:val="00D24226"/>
    <w:rsid w:val="00D2445D"/>
    <w:rsid w:val="00D27F17"/>
    <w:rsid w:val="00D3015C"/>
    <w:rsid w:val="00D311E3"/>
    <w:rsid w:val="00D3120F"/>
    <w:rsid w:val="00D33DC3"/>
    <w:rsid w:val="00D344E2"/>
    <w:rsid w:val="00D35018"/>
    <w:rsid w:val="00D35B75"/>
    <w:rsid w:val="00D36174"/>
    <w:rsid w:val="00D42807"/>
    <w:rsid w:val="00D42B44"/>
    <w:rsid w:val="00D43F79"/>
    <w:rsid w:val="00D44772"/>
    <w:rsid w:val="00D454F9"/>
    <w:rsid w:val="00D50E3E"/>
    <w:rsid w:val="00D51517"/>
    <w:rsid w:val="00D5235D"/>
    <w:rsid w:val="00D525A2"/>
    <w:rsid w:val="00D528E0"/>
    <w:rsid w:val="00D53103"/>
    <w:rsid w:val="00D5338C"/>
    <w:rsid w:val="00D5458C"/>
    <w:rsid w:val="00D554DF"/>
    <w:rsid w:val="00D56359"/>
    <w:rsid w:val="00D56385"/>
    <w:rsid w:val="00D56B17"/>
    <w:rsid w:val="00D604BB"/>
    <w:rsid w:val="00D60CF5"/>
    <w:rsid w:val="00D62884"/>
    <w:rsid w:val="00D62AE6"/>
    <w:rsid w:val="00D62B6E"/>
    <w:rsid w:val="00D647E8"/>
    <w:rsid w:val="00D64AA5"/>
    <w:rsid w:val="00D6586C"/>
    <w:rsid w:val="00D65C81"/>
    <w:rsid w:val="00D65D86"/>
    <w:rsid w:val="00D65F8F"/>
    <w:rsid w:val="00D66D87"/>
    <w:rsid w:val="00D672CD"/>
    <w:rsid w:val="00D67798"/>
    <w:rsid w:val="00D67D17"/>
    <w:rsid w:val="00D703F2"/>
    <w:rsid w:val="00D70EC4"/>
    <w:rsid w:val="00D71BE4"/>
    <w:rsid w:val="00D7248B"/>
    <w:rsid w:val="00D72AC7"/>
    <w:rsid w:val="00D745C6"/>
    <w:rsid w:val="00D7528C"/>
    <w:rsid w:val="00D75CF7"/>
    <w:rsid w:val="00D76092"/>
    <w:rsid w:val="00D7692C"/>
    <w:rsid w:val="00D805BB"/>
    <w:rsid w:val="00D8292A"/>
    <w:rsid w:val="00D82C52"/>
    <w:rsid w:val="00D82F27"/>
    <w:rsid w:val="00D835DF"/>
    <w:rsid w:val="00D8572F"/>
    <w:rsid w:val="00D866FB"/>
    <w:rsid w:val="00D86DA9"/>
    <w:rsid w:val="00D911B4"/>
    <w:rsid w:val="00D91790"/>
    <w:rsid w:val="00D924F2"/>
    <w:rsid w:val="00D92FC2"/>
    <w:rsid w:val="00D93149"/>
    <w:rsid w:val="00D934D7"/>
    <w:rsid w:val="00D93E28"/>
    <w:rsid w:val="00D94E19"/>
    <w:rsid w:val="00D94EA9"/>
    <w:rsid w:val="00D952B1"/>
    <w:rsid w:val="00D96958"/>
    <w:rsid w:val="00DA038B"/>
    <w:rsid w:val="00DA0DBB"/>
    <w:rsid w:val="00DA1B88"/>
    <w:rsid w:val="00DA20C1"/>
    <w:rsid w:val="00DA29D0"/>
    <w:rsid w:val="00DA32A9"/>
    <w:rsid w:val="00DA3538"/>
    <w:rsid w:val="00DA45C7"/>
    <w:rsid w:val="00DA4804"/>
    <w:rsid w:val="00DA519F"/>
    <w:rsid w:val="00DA587E"/>
    <w:rsid w:val="00DA5AC4"/>
    <w:rsid w:val="00DA6E9E"/>
    <w:rsid w:val="00DA7429"/>
    <w:rsid w:val="00DA7C57"/>
    <w:rsid w:val="00DB054D"/>
    <w:rsid w:val="00DB0618"/>
    <w:rsid w:val="00DB1D2D"/>
    <w:rsid w:val="00DB326D"/>
    <w:rsid w:val="00DB37A8"/>
    <w:rsid w:val="00DB44C5"/>
    <w:rsid w:val="00DB4C09"/>
    <w:rsid w:val="00DB4C51"/>
    <w:rsid w:val="00DB5042"/>
    <w:rsid w:val="00DB6C6A"/>
    <w:rsid w:val="00DB6C92"/>
    <w:rsid w:val="00DB6D27"/>
    <w:rsid w:val="00DB7C36"/>
    <w:rsid w:val="00DC02E7"/>
    <w:rsid w:val="00DC2DAE"/>
    <w:rsid w:val="00DC348E"/>
    <w:rsid w:val="00DC497F"/>
    <w:rsid w:val="00DC59BB"/>
    <w:rsid w:val="00DC6B17"/>
    <w:rsid w:val="00DC6ECB"/>
    <w:rsid w:val="00DC74F1"/>
    <w:rsid w:val="00DC76B9"/>
    <w:rsid w:val="00DD06F6"/>
    <w:rsid w:val="00DD08E0"/>
    <w:rsid w:val="00DD1192"/>
    <w:rsid w:val="00DD1580"/>
    <w:rsid w:val="00DD21A0"/>
    <w:rsid w:val="00DD27DF"/>
    <w:rsid w:val="00DD2BA7"/>
    <w:rsid w:val="00DD3200"/>
    <w:rsid w:val="00DD41DB"/>
    <w:rsid w:val="00DD57F9"/>
    <w:rsid w:val="00DD64C5"/>
    <w:rsid w:val="00DD65B0"/>
    <w:rsid w:val="00DD6A79"/>
    <w:rsid w:val="00DE0A20"/>
    <w:rsid w:val="00DE0E25"/>
    <w:rsid w:val="00DE1B91"/>
    <w:rsid w:val="00DE31AD"/>
    <w:rsid w:val="00DE549A"/>
    <w:rsid w:val="00DE573B"/>
    <w:rsid w:val="00DE5F94"/>
    <w:rsid w:val="00DE72A0"/>
    <w:rsid w:val="00DE7AAB"/>
    <w:rsid w:val="00DF00F1"/>
    <w:rsid w:val="00DF0304"/>
    <w:rsid w:val="00DF08BC"/>
    <w:rsid w:val="00DF0E25"/>
    <w:rsid w:val="00DF0FAE"/>
    <w:rsid w:val="00DF1375"/>
    <w:rsid w:val="00DF2194"/>
    <w:rsid w:val="00DF29B7"/>
    <w:rsid w:val="00DF3911"/>
    <w:rsid w:val="00DF3B53"/>
    <w:rsid w:val="00DF3F73"/>
    <w:rsid w:val="00DF497D"/>
    <w:rsid w:val="00DF4B17"/>
    <w:rsid w:val="00DF4BC7"/>
    <w:rsid w:val="00DF5577"/>
    <w:rsid w:val="00DF62EC"/>
    <w:rsid w:val="00DF6386"/>
    <w:rsid w:val="00DF6BE4"/>
    <w:rsid w:val="00DF6E68"/>
    <w:rsid w:val="00DF73FF"/>
    <w:rsid w:val="00DF7434"/>
    <w:rsid w:val="00E00ABD"/>
    <w:rsid w:val="00E01490"/>
    <w:rsid w:val="00E0187B"/>
    <w:rsid w:val="00E01885"/>
    <w:rsid w:val="00E02197"/>
    <w:rsid w:val="00E0275D"/>
    <w:rsid w:val="00E02F62"/>
    <w:rsid w:val="00E04031"/>
    <w:rsid w:val="00E0471A"/>
    <w:rsid w:val="00E0781F"/>
    <w:rsid w:val="00E07917"/>
    <w:rsid w:val="00E079BE"/>
    <w:rsid w:val="00E10634"/>
    <w:rsid w:val="00E10A1E"/>
    <w:rsid w:val="00E129B6"/>
    <w:rsid w:val="00E1448F"/>
    <w:rsid w:val="00E149A2"/>
    <w:rsid w:val="00E15487"/>
    <w:rsid w:val="00E16539"/>
    <w:rsid w:val="00E17D47"/>
    <w:rsid w:val="00E17E8C"/>
    <w:rsid w:val="00E205FE"/>
    <w:rsid w:val="00E21456"/>
    <w:rsid w:val="00E21510"/>
    <w:rsid w:val="00E21894"/>
    <w:rsid w:val="00E21D97"/>
    <w:rsid w:val="00E22B1C"/>
    <w:rsid w:val="00E23C2B"/>
    <w:rsid w:val="00E26D17"/>
    <w:rsid w:val="00E27949"/>
    <w:rsid w:val="00E32720"/>
    <w:rsid w:val="00E32C39"/>
    <w:rsid w:val="00E335B4"/>
    <w:rsid w:val="00E34496"/>
    <w:rsid w:val="00E3517D"/>
    <w:rsid w:val="00E35971"/>
    <w:rsid w:val="00E36121"/>
    <w:rsid w:val="00E36272"/>
    <w:rsid w:val="00E363BA"/>
    <w:rsid w:val="00E37DF7"/>
    <w:rsid w:val="00E40ABA"/>
    <w:rsid w:val="00E41ED8"/>
    <w:rsid w:val="00E42E67"/>
    <w:rsid w:val="00E449BE"/>
    <w:rsid w:val="00E4592D"/>
    <w:rsid w:val="00E45DD4"/>
    <w:rsid w:val="00E4796C"/>
    <w:rsid w:val="00E47F74"/>
    <w:rsid w:val="00E50BA8"/>
    <w:rsid w:val="00E50E90"/>
    <w:rsid w:val="00E52127"/>
    <w:rsid w:val="00E52B8C"/>
    <w:rsid w:val="00E52D70"/>
    <w:rsid w:val="00E54255"/>
    <w:rsid w:val="00E54A5F"/>
    <w:rsid w:val="00E54D15"/>
    <w:rsid w:val="00E55A54"/>
    <w:rsid w:val="00E57D3B"/>
    <w:rsid w:val="00E57DDD"/>
    <w:rsid w:val="00E6029E"/>
    <w:rsid w:val="00E60B36"/>
    <w:rsid w:val="00E60D45"/>
    <w:rsid w:val="00E60EE1"/>
    <w:rsid w:val="00E617BE"/>
    <w:rsid w:val="00E61879"/>
    <w:rsid w:val="00E62081"/>
    <w:rsid w:val="00E6442E"/>
    <w:rsid w:val="00E65AEA"/>
    <w:rsid w:val="00E65B63"/>
    <w:rsid w:val="00E65D5F"/>
    <w:rsid w:val="00E66923"/>
    <w:rsid w:val="00E66FF8"/>
    <w:rsid w:val="00E67397"/>
    <w:rsid w:val="00E720B9"/>
    <w:rsid w:val="00E727A9"/>
    <w:rsid w:val="00E72C33"/>
    <w:rsid w:val="00E7482D"/>
    <w:rsid w:val="00E751CC"/>
    <w:rsid w:val="00E7526C"/>
    <w:rsid w:val="00E756C5"/>
    <w:rsid w:val="00E76F57"/>
    <w:rsid w:val="00E80E09"/>
    <w:rsid w:val="00E81156"/>
    <w:rsid w:val="00E81D54"/>
    <w:rsid w:val="00E82306"/>
    <w:rsid w:val="00E8262C"/>
    <w:rsid w:val="00E838A1"/>
    <w:rsid w:val="00E84605"/>
    <w:rsid w:val="00E8526C"/>
    <w:rsid w:val="00E85CB4"/>
    <w:rsid w:val="00E865A6"/>
    <w:rsid w:val="00E86811"/>
    <w:rsid w:val="00E875A2"/>
    <w:rsid w:val="00E87607"/>
    <w:rsid w:val="00E901D1"/>
    <w:rsid w:val="00E90744"/>
    <w:rsid w:val="00E910C1"/>
    <w:rsid w:val="00E92DF0"/>
    <w:rsid w:val="00E92EF0"/>
    <w:rsid w:val="00E94093"/>
    <w:rsid w:val="00E95123"/>
    <w:rsid w:val="00E957EA"/>
    <w:rsid w:val="00E95D66"/>
    <w:rsid w:val="00E95F2A"/>
    <w:rsid w:val="00E96567"/>
    <w:rsid w:val="00E96F65"/>
    <w:rsid w:val="00EA022D"/>
    <w:rsid w:val="00EA0AB9"/>
    <w:rsid w:val="00EA19E0"/>
    <w:rsid w:val="00EA1E9F"/>
    <w:rsid w:val="00EA2122"/>
    <w:rsid w:val="00EA3D02"/>
    <w:rsid w:val="00EA4DE0"/>
    <w:rsid w:val="00EA5784"/>
    <w:rsid w:val="00EA6F7E"/>
    <w:rsid w:val="00EA7493"/>
    <w:rsid w:val="00EB0C07"/>
    <w:rsid w:val="00EB0C6F"/>
    <w:rsid w:val="00EB2B8E"/>
    <w:rsid w:val="00EB5ABB"/>
    <w:rsid w:val="00EB5FBB"/>
    <w:rsid w:val="00EB735A"/>
    <w:rsid w:val="00EC076D"/>
    <w:rsid w:val="00EC089C"/>
    <w:rsid w:val="00EC0B14"/>
    <w:rsid w:val="00EC1655"/>
    <w:rsid w:val="00EC2D99"/>
    <w:rsid w:val="00EC325B"/>
    <w:rsid w:val="00EC4ABC"/>
    <w:rsid w:val="00EC4CA4"/>
    <w:rsid w:val="00EC4D8C"/>
    <w:rsid w:val="00EC4F2E"/>
    <w:rsid w:val="00EC51C1"/>
    <w:rsid w:val="00EC56E7"/>
    <w:rsid w:val="00EC61B5"/>
    <w:rsid w:val="00EC7136"/>
    <w:rsid w:val="00EC7926"/>
    <w:rsid w:val="00EC7995"/>
    <w:rsid w:val="00EC7CAC"/>
    <w:rsid w:val="00ED00AC"/>
    <w:rsid w:val="00ED00B6"/>
    <w:rsid w:val="00ED0D9F"/>
    <w:rsid w:val="00ED1E99"/>
    <w:rsid w:val="00ED2AC1"/>
    <w:rsid w:val="00ED34A2"/>
    <w:rsid w:val="00ED3FF7"/>
    <w:rsid w:val="00ED421D"/>
    <w:rsid w:val="00ED4453"/>
    <w:rsid w:val="00ED56A4"/>
    <w:rsid w:val="00ED5EBE"/>
    <w:rsid w:val="00ED69E8"/>
    <w:rsid w:val="00ED6B28"/>
    <w:rsid w:val="00ED6C38"/>
    <w:rsid w:val="00EE0C20"/>
    <w:rsid w:val="00EE168F"/>
    <w:rsid w:val="00EE1BD5"/>
    <w:rsid w:val="00EE241D"/>
    <w:rsid w:val="00EE353B"/>
    <w:rsid w:val="00EE35B1"/>
    <w:rsid w:val="00EE3821"/>
    <w:rsid w:val="00EE3971"/>
    <w:rsid w:val="00EE427E"/>
    <w:rsid w:val="00EE43A3"/>
    <w:rsid w:val="00EE4460"/>
    <w:rsid w:val="00EE4BD2"/>
    <w:rsid w:val="00EE4BD8"/>
    <w:rsid w:val="00EE52A2"/>
    <w:rsid w:val="00EE5B5F"/>
    <w:rsid w:val="00EE5D70"/>
    <w:rsid w:val="00EE5E5E"/>
    <w:rsid w:val="00EE67FA"/>
    <w:rsid w:val="00EE6D7D"/>
    <w:rsid w:val="00EE709B"/>
    <w:rsid w:val="00EE7AD0"/>
    <w:rsid w:val="00EF0C84"/>
    <w:rsid w:val="00EF0CE4"/>
    <w:rsid w:val="00EF12E9"/>
    <w:rsid w:val="00EF23C0"/>
    <w:rsid w:val="00EF4709"/>
    <w:rsid w:val="00EF59AC"/>
    <w:rsid w:val="00EF5CE2"/>
    <w:rsid w:val="00EF608B"/>
    <w:rsid w:val="00EF6D04"/>
    <w:rsid w:val="00EF6D53"/>
    <w:rsid w:val="00EF74C7"/>
    <w:rsid w:val="00F02908"/>
    <w:rsid w:val="00F031ED"/>
    <w:rsid w:val="00F0402C"/>
    <w:rsid w:val="00F04DF7"/>
    <w:rsid w:val="00F04FCF"/>
    <w:rsid w:val="00F05134"/>
    <w:rsid w:val="00F06C52"/>
    <w:rsid w:val="00F07523"/>
    <w:rsid w:val="00F12331"/>
    <w:rsid w:val="00F144E1"/>
    <w:rsid w:val="00F1472A"/>
    <w:rsid w:val="00F1620F"/>
    <w:rsid w:val="00F1775D"/>
    <w:rsid w:val="00F17937"/>
    <w:rsid w:val="00F17B6A"/>
    <w:rsid w:val="00F2278D"/>
    <w:rsid w:val="00F2294C"/>
    <w:rsid w:val="00F22A52"/>
    <w:rsid w:val="00F270C7"/>
    <w:rsid w:val="00F27428"/>
    <w:rsid w:val="00F302B6"/>
    <w:rsid w:val="00F30A57"/>
    <w:rsid w:val="00F32B16"/>
    <w:rsid w:val="00F32D12"/>
    <w:rsid w:val="00F32EA3"/>
    <w:rsid w:val="00F332F0"/>
    <w:rsid w:val="00F3388A"/>
    <w:rsid w:val="00F33AEB"/>
    <w:rsid w:val="00F341EF"/>
    <w:rsid w:val="00F34957"/>
    <w:rsid w:val="00F34CD9"/>
    <w:rsid w:val="00F34FDB"/>
    <w:rsid w:val="00F3541C"/>
    <w:rsid w:val="00F354E0"/>
    <w:rsid w:val="00F35883"/>
    <w:rsid w:val="00F360B7"/>
    <w:rsid w:val="00F36883"/>
    <w:rsid w:val="00F36EDF"/>
    <w:rsid w:val="00F37A03"/>
    <w:rsid w:val="00F410FD"/>
    <w:rsid w:val="00F415C5"/>
    <w:rsid w:val="00F41DE9"/>
    <w:rsid w:val="00F42149"/>
    <w:rsid w:val="00F423AF"/>
    <w:rsid w:val="00F449FD"/>
    <w:rsid w:val="00F44C64"/>
    <w:rsid w:val="00F45A5F"/>
    <w:rsid w:val="00F4698E"/>
    <w:rsid w:val="00F478D4"/>
    <w:rsid w:val="00F47A51"/>
    <w:rsid w:val="00F50548"/>
    <w:rsid w:val="00F50959"/>
    <w:rsid w:val="00F50B73"/>
    <w:rsid w:val="00F51819"/>
    <w:rsid w:val="00F519AC"/>
    <w:rsid w:val="00F5267A"/>
    <w:rsid w:val="00F52C7E"/>
    <w:rsid w:val="00F52D4C"/>
    <w:rsid w:val="00F52E81"/>
    <w:rsid w:val="00F534BD"/>
    <w:rsid w:val="00F53589"/>
    <w:rsid w:val="00F559C2"/>
    <w:rsid w:val="00F6004D"/>
    <w:rsid w:val="00F60E2E"/>
    <w:rsid w:val="00F6311F"/>
    <w:rsid w:val="00F636C2"/>
    <w:rsid w:val="00F63CD9"/>
    <w:rsid w:val="00F63F90"/>
    <w:rsid w:val="00F64C69"/>
    <w:rsid w:val="00F65E28"/>
    <w:rsid w:val="00F65EA0"/>
    <w:rsid w:val="00F66A80"/>
    <w:rsid w:val="00F70690"/>
    <w:rsid w:val="00F70B18"/>
    <w:rsid w:val="00F73372"/>
    <w:rsid w:val="00F7374E"/>
    <w:rsid w:val="00F7497F"/>
    <w:rsid w:val="00F74DC2"/>
    <w:rsid w:val="00F75F4C"/>
    <w:rsid w:val="00F7615E"/>
    <w:rsid w:val="00F76238"/>
    <w:rsid w:val="00F76417"/>
    <w:rsid w:val="00F764D9"/>
    <w:rsid w:val="00F76815"/>
    <w:rsid w:val="00F7759D"/>
    <w:rsid w:val="00F804A3"/>
    <w:rsid w:val="00F80B42"/>
    <w:rsid w:val="00F8145B"/>
    <w:rsid w:val="00F8210D"/>
    <w:rsid w:val="00F832AC"/>
    <w:rsid w:val="00F8472E"/>
    <w:rsid w:val="00F85926"/>
    <w:rsid w:val="00F8741A"/>
    <w:rsid w:val="00F8769F"/>
    <w:rsid w:val="00F87748"/>
    <w:rsid w:val="00F90F3B"/>
    <w:rsid w:val="00F92480"/>
    <w:rsid w:val="00F92B5C"/>
    <w:rsid w:val="00F93844"/>
    <w:rsid w:val="00F94CB4"/>
    <w:rsid w:val="00F94CC5"/>
    <w:rsid w:val="00F95BE2"/>
    <w:rsid w:val="00F96AE2"/>
    <w:rsid w:val="00F96B40"/>
    <w:rsid w:val="00F974F0"/>
    <w:rsid w:val="00F979DA"/>
    <w:rsid w:val="00FA0200"/>
    <w:rsid w:val="00FA0A8A"/>
    <w:rsid w:val="00FA20FA"/>
    <w:rsid w:val="00FA22AB"/>
    <w:rsid w:val="00FA253F"/>
    <w:rsid w:val="00FA4216"/>
    <w:rsid w:val="00FA57A3"/>
    <w:rsid w:val="00FA745C"/>
    <w:rsid w:val="00FB1485"/>
    <w:rsid w:val="00FB1D21"/>
    <w:rsid w:val="00FB7377"/>
    <w:rsid w:val="00FB7C4D"/>
    <w:rsid w:val="00FC1302"/>
    <w:rsid w:val="00FC3FC3"/>
    <w:rsid w:val="00FC5384"/>
    <w:rsid w:val="00FC6514"/>
    <w:rsid w:val="00FC67E7"/>
    <w:rsid w:val="00FC697A"/>
    <w:rsid w:val="00FC6D22"/>
    <w:rsid w:val="00FC77D4"/>
    <w:rsid w:val="00FD0A2E"/>
    <w:rsid w:val="00FD1281"/>
    <w:rsid w:val="00FD1C83"/>
    <w:rsid w:val="00FD1ECC"/>
    <w:rsid w:val="00FD26C2"/>
    <w:rsid w:val="00FD35FB"/>
    <w:rsid w:val="00FD4461"/>
    <w:rsid w:val="00FD4894"/>
    <w:rsid w:val="00FD51D8"/>
    <w:rsid w:val="00FD60CE"/>
    <w:rsid w:val="00FD68C0"/>
    <w:rsid w:val="00FD6C9A"/>
    <w:rsid w:val="00FD6FF2"/>
    <w:rsid w:val="00FD754F"/>
    <w:rsid w:val="00FD7697"/>
    <w:rsid w:val="00FE045A"/>
    <w:rsid w:val="00FE1579"/>
    <w:rsid w:val="00FE1CD7"/>
    <w:rsid w:val="00FE210B"/>
    <w:rsid w:val="00FE2D71"/>
    <w:rsid w:val="00FE3110"/>
    <w:rsid w:val="00FE3984"/>
    <w:rsid w:val="00FE492D"/>
    <w:rsid w:val="00FE4BDD"/>
    <w:rsid w:val="00FE553D"/>
    <w:rsid w:val="00FE79D7"/>
    <w:rsid w:val="00FE7BEC"/>
    <w:rsid w:val="00FF0E5F"/>
    <w:rsid w:val="00FF1D79"/>
    <w:rsid w:val="00FF2B8E"/>
    <w:rsid w:val="00FF2C83"/>
    <w:rsid w:val="00FF3D23"/>
    <w:rsid w:val="00FF3F79"/>
    <w:rsid w:val="00FF466D"/>
    <w:rsid w:val="00FF6100"/>
    <w:rsid w:val="00FF61F2"/>
    <w:rsid w:val="00FF635B"/>
    <w:rsid w:val="00FF6DA8"/>
    <w:rsid w:val="00FF72FE"/>
    <w:rsid w:val="00FF74C5"/>
    <w:rsid w:val="00FF78FA"/>
    <w:rsid w:val="01077EF7"/>
    <w:rsid w:val="013B4518"/>
    <w:rsid w:val="01521D14"/>
    <w:rsid w:val="018D57F1"/>
    <w:rsid w:val="01A60F1A"/>
    <w:rsid w:val="01BB5482"/>
    <w:rsid w:val="020476FC"/>
    <w:rsid w:val="02191F72"/>
    <w:rsid w:val="02430EE7"/>
    <w:rsid w:val="0252689C"/>
    <w:rsid w:val="02A41DE5"/>
    <w:rsid w:val="02D2201C"/>
    <w:rsid w:val="030D7ADA"/>
    <w:rsid w:val="03226D88"/>
    <w:rsid w:val="0335100A"/>
    <w:rsid w:val="034C2BAC"/>
    <w:rsid w:val="035C57A6"/>
    <w:rsid w:val="039D6978"/>
    <w:rsid w:val="03A24410"/>
    <w:rsid w:val="03B82CBD"/>
    <w:rsid w:val="0411364B"/>
    <w:rsid w:val="0466647B"/>
    <w:rsid w:val="049A3F85"/>
    <w:rsid w:val="04B74726"/>
    <w:rsid w:val="054B3A70"/>
    <w:rsid w:val="05647CE5"/>
    <w:rsid w:val="0574700A"/>
    <w:rsid w:val="05A57C57"/>
    <w:rsid w:val="05B10299"/>
    <w:rsid w:val="05BD15F6"/>
    <w:rsid w:val="06023A77"/>
    <w:rsid w:val="06205949"/>
    <w:rsid w:val="0635634C"/>
    <w:rsid w:val="063C3E45"/>
    <w:rsid w:val="06567B26"/>
    <w:rsid w:val="065B5F58"/>
    <w:rsid w:val="067315CF"/>
    <w:rsid w:val="067D15C2"/>
    <w:rsid w:val="06894403"/>
    <w:rsid w:val="06A90EAE"/>
    <w:rsid w:val="06D84079"/>
    <w:rsid w:val="07007123"/>
    <w:rsid w:val="07026975"/>
    <w:rsid w:val="07140CF8"/>
    <w:rsid w:val="072360F9"/>
    <w:rsid w:val="0749310F"/>
    <w:rsid w:val="076026E8"/>
    <w:rsid w:val="07875CDC"/>
    <w:rsid w:val="07F33537"/>
    <w:rsid w:val="080A08DD"/>
    <w:rsid w:val="080F0EDD"/>
    <w:rsid w:val="081113ED"/>
    <w:rsid w:val="083F64B3"/>
    <w:rsid w:val="0850527C"/>
    <w:rsid w:val="08677FF6"/>
    <w:rsid w:val="08AE0C24"/>
    <w:rsid w:val="08B2661C"/>
    <w:rsid w:val="08EF7B15"/>
    <w:rsid w:val="091019BA"/>
    <w:rsid w:val="09105C71"/>
    <w:rsid w:val="091474FC"/>
    <w:rsid w:val="09314224"/>
    <w:rsid w:val="099C52E0"/>
    <w:rsid w:val="09C64316"/>
    <w:rsid w:val="09E156FE"/>
    <w:rsid w:val="09F23637"/>
    <w:rsid w:val="0A2E4E32"/>
    <w:rsid w:val="0A520486"/>
    <w:rsid w:val="0AC60A4E"/>
    <w:rsid w:val="0AD1639E"/>
    <w:rsid w:val="0ADE0C5A"/>
    <w:rsid w:val="0AFF425D"/>
    <w:rsid w:val="0B104CA0"/>
    <w:rsid w:val="0B23022E"/>
    <w:rsid w:val="0B2F4090"/>
    <w:rsid w:val="0B357F34"/>
    <w:rsid w:val="0B61754A"/>
    <w:rsid w:val="0B8477E4"/>
    <w:rsid w:val="0B9C252D"/>
    <w:rsid w:val="0B9C6252"/>
    <w:rsid w:val="0BAE4485"/>
    <w:rsid w:val="0C080D2C"/>
    <w:rsid w:val="0C1A32E9"/>
    <w:rsid w:val="0C5105D1"/>
    <w:rsid w:val="0C8F6726"/>
    <w:rsid w:val="0CFE0DEE"/>
    <w:rsid w:val="0D194243"/>
    <w:rsid w:val="0D2F63B3"/>
    <w:rsid w:val="0D3163D8"/>
    <w:rsid w:val="0D4C59E6"/>
    <w:rsid w:val="0D5B1156"/>
    <w:rsid w:val="0D797CD9"/>
    <w:rsid w:val="0D7D79AF"/>
    <w:rsid w:val="0DC52B01"/>
    <w:rsid w:val="0DC71624"/>
    <w:rsid w:val="0DD020B8"/>
    <w:rsid w:val="0DD405BD"/>
    <w:rsid w:val="0E0005C7"/>
    <w:rsid w:val="0E190B7F"/>
    <w:rsid w:val="0E4952C0"/>
    <w:rsid w:val="0EA724DA"/>
    <w:rsid w:val="0EDB19A3"/>
    <w:rsid w:val="0F524C4C"/>
    <w:rsid w:val="0F652511"/>
    <w:rsid w:val="0F6D1100"/>
    <w:rsid w:val="0F7C3F4A"/>
    <w:rsid w:val="0FED451A"/>
    <w:rsid w:val="100F6B4C"/>
    <w:rsid w:val="1039611C"/>
    <w:rsid w:val="10670AC4"/>
    <w:rsid w:val="10AB7B63"/>
    <w:rsid w:val="10C068F8"/>
    <w:rsid w:val="10C66492"/>
    <w:rsid w:val="10ED08D8"/>
    <w:rsid w:val="11051661"/>
    <w:rsid w:val="112604BF"/>
    <w:rsid w:val="11344921"/>
    <w:rsid w:val="11AA202F"/>
    <w:rsid w:val="11AE0432"/>
    <w:rsid w:val="11CF2690"/>
    <w:rsid w:val="11D17FE1"/>
    <w:rsid w:val="12360FD4"/>
    <w:rsid w:val="12415B5C"/>
    <w:rsid w:val="1264228E"/>
    <w:rsid w:val="12A33345"/>
    <w:rsid w:val="12BF5009"/>
    <w:rsid w:val="12E85245"/>
    <w:rsid w:val="13076D11"/>
    <w:rsid w:val="131A014E"/>
    <w:rsid w:val="132A75F0"/>
    <w:rsid w:val="13EA0356"/>
    <w:rsid w:val="149E74C4"/>
    <w:rsid w:val="14A0078C"/>
    <w:rsid w:val="14D70C24"/>
    <w:rsid w:val="14DC59B9"/>
    <w:rsid w:val="14FA0EEF"/>
    <w:rsid w:val="15096714"/>
    <w:rsid w:val="154613F0"/>
    <w:rsid w:val="155D43DC"/>
    <w:rsid w:val="1572368C"/>
    <w:rsid w:val="158C6115"/>
    <w:rsid w:val="15BD4D3E"/>
    <w:rsid w:val="15C64504"/>
    <w:rsid w:val="15F86CDA"/>
    <w:rsid w:val="160F4004"/>
    <w:rsid w:val="162E4B63"/>
    <w:rsid w:val="163071C2"/>
    <w:rsid w:val="16523120"/>
    <w:rsid w:val="16546F5A"/>
    <w:rsid w:val="16627944"/>
    <w:rsid w:val="166B5798"/>
    <w:rsid w:val="16B70FA2"/>
    <w:rsid w:val="16F6797A"/>
    <w:rsid w:val="172310D5"/>
    <w:rsid w:val="172E47E4"/>
    <w:rsid w:val="17416AAA"/>
    <w:rsid w:val="174170C5"/>
    <w:rsid w:val="177B7CDB"/>
    <w:rsid w:val="17BF4BFC"/>
    <w:rsid w:val="17FA0E66"/>
    <w:rsid w:val="18465FA6"/>
    <w:rsid w:val="186726CB"/>
    <w:rsid w:val="18940254"/>
    <w:rsid w:val="189422EF"/>
    <w:rsid w:val="18A075A8"/>
    <w:rsid w:val="18B35F52"/>
    <w:rsid w:val="18DC243A"/>
    <w:rsid w:val="18EA34B3"/>
    <w:rsid w:val="19203181"/>
    <w:rsid w:val="192F0A0C"/>
    <w:rsid w:val="193119A2"/>
    <w:rsid w:val="19353D5F"/>
    <w:rsid w:val="193D1987"/>
    <w:rsid w:val="19917B47"/>
    <w:rsid w:val="199775EC"/>
    <w:rsid w:val="19AE45FF"/>
    <w:rsid w:val="1A42160D"/>
    <w:rsid w:val="1A4B685D"/>
    <w:rsid w:val="1A746746"/>
    <w:rsid w:val="1AFA21BF"/>
    <w:rsid w:val="1B007A3C"/>
    <w:rsid w:val="1B3176D8"/>
    <w:rsid w:val="1B8D15C6"/>
    <w:rsid w:val="1B8D541D"/>
    <w:rsid w:val="1BC004A8"/>
    <w:rsid w:val="1BD03F80"/>
    <w:rsid w:val="1BE26F64"/>
    <w:rsid w:val="1BF9184E"/>
    <w:rsid w:val="1C1557BE"/>
    <w:rsid w:val="1C397984"/>
    <w:rsid w:val="1C4F565B"/>
    <w:rsid w:val="1C5761F9"/>
    <w:rsid w:val="1C8253DC"/>
    <w:rsid w:val="1C8D3713"/>
    <w:rsid w:val="1C9876DD"/>
    <w:rsid w:val="1CAD3BE2"/>
    <w:rsid w:val="1CEC7BCB"/>
    <w:rsid w:val="1CF32566"/>
    <w:rsid w:val="1D3F6735"/>
    <w:rsid w:val="1DA05D39"/>
    <w:rsid w:val="1DFA1372"/>
    <w:rsid w:val="1E2E2D48"/>
    <w:rsid w:val="1E344503"/>
    <w:rsid w:val="1E6417DA"/>
    <w:rsid w:val="1E6803B3"/>
    <w:rsid w:val="1ECA295F"/>
    <w:rsid w:val="1ECF228B"/>
    <w:rsid w:val="1EDA2614"/>
    <w:rsid w:val="1F193C37"/>
    <w:rsid w:val="1F211E45"/>
    <w:rsid w:val="1F534523"/>
    <w:rsid w:val="1F5373FA"/>
    <w:rsid w:val="1F656551"/>
    <w:rsid w:val="1F7C6703"/>
    <w:rsid w:val="1FAE11F6"/>
    <w:rsid w:val="1FB53133"/>
    <w:rsid w:val="20644483"/>
    <w:rsid w:val="207D32E6"/>
    <w:rsid w:val="208444EE"/>
    <w:rsid w:val="20D41E97"/>
    <w:rsid w:val="20D809A0"/>
    <w:rsid w:val="20E454B4"/>
    <w:rsid w:val="21242F5B"/>
    <w:rsid w:val="213941EB"/>
    <w:rsid w:val="21414DC7"/>
    <w:rsid w:val="219215AE"/>
    <w:rsid w:val="21F82CCD"/>
    <w:rsid w:val="22095E5F"/>
    <w:rsid w:val="222D1A14"/>
    <w:rsid w:val="227D6959"/>
    <w:rsid w:val="2302184A"/>
    <w:rsid w:val="23076AD9"/>
    <w:rsid w:val="23077957"/>
    <w:rsid w:val="232E0F60"/>
    <w:rsid w:val="233877E9"/>
    <w:rsid w:val="239664DD"/>
    <w:rsid w:val="23A81D2F"/>
    <w:rsid w:val="23EC5A13"/>
    <w:rsid w:val="23EF3879"/>
    <w:rsid w:val="24095A55"/>
    <w:rsid w:val="24347191"/>
    <w:rsid w:val="245D7EB7"/>
    <w:rsid w:val="24957EBC"/>
    <w:rsid w:val="24BF3382"/>
    <w:rsid w:val="24D90450"/>
    <w:rsid w:val="24DA576E"/>
    <w:rsid w:val="250D55D3"/>
    <w:rsid w:val="25964911"/>
    <w:rsid w:val="25971707"/>
    <w:rsid w:val="259B42DC"/>
    <w:rsid w:val="25B41362"/>
    <w:rsid w:val="25CE26BA"/>
    <w:rsid w:val="25DC4E40"/>
    <w:rsid w:val="25E01C58"/>
    <w:rsid w:val="25F94BCD"/>
    <w:rsid w:val="26211026"/>
    <w:rsid w:val="264908D0"/>
    <w:rsid w:val="26566FFD"/>
    <w:rsid w:val="266928ED"/>
    <w:rsid w:val="2671101C"/>
    <w:rsid w:val="26B836A0"/>
    <w:rsid w:val="26CB1424"/>
    <w:rsid w:val="270E01CE"/>
    <w:rsid w:val="276649CE"/>
    <w:rsid w:val="278761FD"/>
    <w:rsid w:val="27963A87"/>
    <w:rsid w:val="27AE1008"/>
    <w:rsid w:val="27DE1792"/>
    <w:rsid w:val="27F95ED6"/>
    <w:rsid w:val="280A2E57"/>
    <w:rsid w:val="284E0D04"/>
    <w:rsid w:val="28724712"/>
    <w:rsid w:val="28730F30"/>
    <w:rsid w:val="2882472B"/>
    <w:rsid w:val="28A61C24"/>
    <w:rsid w:val="28B13BD6"/>
    <w:rsid w:val="28ED7FA1"/>
    <w:rsid w:val="291A594A"/>
    <w:rsid w:val="29297400"/>
    <w:rsid w:val="2937423D"/>
    <w:rsid w:val="29594B55"/>
    <w:rsid w:val="295F170C"/>
    <w:rsid w:val="29EF3282"/>
    <w:rsid w:val="2A660EB3"/>
    <w:rsid w:val="2AAD6F1D"/>
    <w:rsid w:val="2ABD3B1F"/>
    <w:rsid w:val="2ABF6B3B"/>
    <w:rsid w:val="2AD80DDD"/>
    <w:rsid w:val="2AEC7BEB"/>
    <w:rsid w:val="2AED0C99"/>
    <w:rsid w:val="2AF43AA5"/>
    <w:rsid w:val="2AFF2546"/>
    <w:rsid w:val="2B2E189C"/>
    <w:rsid w:val="2B532AD5"/>
    <w:rsid w:val="2B684F18"/>
    <w:rsid w:val="2B72139E"/>
    <w:rsid w:val="2B78038D"/>
    <w:rsid w:val="2B926B6C"/>
    <w:rsid w:val="2B994A82"/>
    <w:rsid w:val="2BC45C63"/>
    <w:rsid w:val="2BC5142D"/>
    <w:rsid w:val="2BC54724"/>
    <w:rsid w:val="2BE24E65"/>
    <w:rsid w:val="2BFC5A2A"/>
    <w:rsid w:val="2C2422C5"/>
    <w:rsid w:val="2C340A4B"/>
    <w:rsid w:val="2C4012C3"/>
    <w:rsid w:val="2C527229"/>
    <w:rsid w:val="2C553831"/>
    <w:rsid w:val="2C974071"/>
    <w:rsid w:val="2CEB1AD6"/>
    <w:rsid w:val="2D114251"/>
    <w:rsid w:val="2D2827D6"/>
    <w:rsid w:val="2D3C7336"/>
    <w:rsid w:val="2D5251DF"/>
    <w:rsid w:val="2D613D6D"/>
    <w:rsid w:val="2E2B6BC6"/>
    <w:rsid w:val="2E390530"/>
    <w:rsid w:val="2E4528C7"/>
    <w:rsid w:val="2E4D3269"/>
    <w:rsid w:val="2E653BEE"/>
    <w:rsid w:val="2F0579C1"/>
    <w:rsid w:val="2F0C0DA1"/>
    <w:rsid w:val="2F1C2F1C"/>
    <w:rsid w:val="2F25202E"/>
    <w:rsid w:val="2F3826F3"/>
    <w:rsid w:val="2F724E3B"/>
    <w:rsid w:val="2F7A733E"/>
    <w:rsid w:val="2F96363D"/>
    <w:rsid w:val="2F9F04B0"/>
    <w:rsid w:val="2FAC1A4D"/>
    <w:rsid w:val="2FD7466D"/>
    <w:rsid w:val="2FE738CF"/>
    <w:rsid w:val="305B3ED6"/>
    <w:rsid w:val="30A705BF"/>
    <w:rsid w:val="30B47E9A"/>
    <w:rsid w:val="30BB5654"/>
    <w:rsid w:val="310A571B"/>
    <w:rsid w:val="315B7EEF"/>
    <w:rsid w:val="31636DDB"/>
    <w:rsid w:val="3176492D"/>
    <w:rsid w:val="31A73776"/>
    <w:rsid w:val="31E804D3"/>
    <w:rsid w:val="31EA2B9D"/>
    <w:rsid w:val="32306F2D"/>
    <w:rsid w:val="327935EE"/>
    <w:rsid w:val="32D17005"/>
    <w:rsid w:val="330B4A2A"/>
    <w:rsid w:val="330B6025"/>
    <w:rsid w:val="331747B4"/>
    <w:rsid w:val="340D3B01"/>
    <w:rsid w:val="341B2C4A"/>
    <w:rsid w:val="34295234"/>
    <w:rsid w:val="343220D5"/>
    <w:rsid w:val="34427312"/>
    <w:rsid w:val="345D0519"/>
    <w:rsid w:val="346C3EB7"/>
    <w:rsid w:val="34786A35"/>
    <w:rsid w:val="348932C7"/>
    <w:rsid w:val="34AA0E0A"/>
    <w:rsid w:val="34CA5A1C"/>
    <w:rsid w:val="34D65E80"/>
    <w:rsid w:val="34F8201C"/>
    <w:rsid w:val="358E6EED"/>
    <w:rsid w:val="35DA6467"/>
    <w:rsid w:val="35FF16D2"/>
    <w:rsid w:val="3645486B"/>
    <w:rsid w:val="364F4B97"/>
    <w:rsid w:val="369D3259"/>
    <w:rsid w:val="36AB2050"/>
    <w:rsid w:val="36B255B0"/>
    <w:rsid w:val="36C01160"/>
    <w:rsid w:val="36EF6ED0"/>
    <w:rsid w:val="37B12C2B"/>
    <w:rsid w:val="37E478EF"/>
    <w:rsid w:val="381E2044"/>
    <w:rsid w:val="3830345A"/>
    <w:rsid w:val="384406FA"/>
    <w:rsid w:val="38445582"/>
    <w:rsid w:val="384600C4"/>
    <w:rsid w:val="384C5E74"/>
    <w:rsid w:val="388927E9"/>
    <w:rsid w:val="38ED0A3C"/>
    <w:rsid w:val="38F14D8C"/>
    <w:rsid w:val="38F9119E"/>
    <w:rsid w:val="39175B5A"/>
    <w:rsid w:val="39483D7E"/>
    <w:rsid w:val="39656B4F"/>
    <w:rsid w:val="39A24CEE"/>
    <w:rsid w:val="39EC09CE"/>
    <w:rsid w:val="3A22375C"/>
    <w:rsid w:val="3A241D10"/>
    <w:rsid w:val="3A425B74"/>
    <w:rsid w:val="3A660001"/>
    <w:rsid w:val="3A6B24BF"/>
    <w:rsid w:val="3AA3194C"/>
    <w:rsid w:val="3AA854FD"/>
    <w:rsid w:val="3AD07C84"/>
    <w:rsid w:val="3AD978A4"/>
    <w:rsid w:val="3AEA789A"/>
    <w:rsid w:val="3AFF5316"/>
    <w:rsid w:val="3B750866"/>
    <w:rsid w:val="3B920E3C"/>
    <w:rsid w:val="3B9F6309"/>
    <w:rsid w:val="3BC6489B"/>
    <w:rsid w:val="3BCB4170"/>
    <w:rsid w:val="3BD81F54"/>
    <w:rsid w:val="3BED0E82"/>
    <w:rsid w:val="3BF86A9B"/>
    <w:rsid w:val="3C0F4A91"/>
    <w:rsid w:val="3C274D80"/>
    <w:rsid w:val="3C7B7E65"/>
    <w:rsid w:val="3CD83B0A"/>
    <w:rsid w:val="3D5970AE"/>
    <w:rsid w:val="3D7D7DB0"/>
    <w:rsid w:val="3D842FE4"/>
    <w:rsid w:val="3E765AAF"/>
    <w:rsid w:val="3EE8746F"/>
    <w:rsid w:val="3EFE5FC5"/>
    <w:rsid w:val="3F4E30C1"/>
    <w:rsid w:val="3F4E40DB"/>
    <w:rsid w:val="3F5C3788"/>
    <w:rsid w:val="3F78131A"/>
    <w:rsid w:val="3F877CD1"/>
    <w:rsid w:val="3FA35083"/>
    <w:rsid w:val="3FA762F9"/>
    <w:rsid w:val="3FE63AFF"/>
    <w:rsid w:val="40457C20"/>
    <w:rsid w:val="40710C8A"/>
    <w:rsid w:val="40C305FC"/>
    <w:rsid w:val="40C63BDE"/>
    <w:rsid w:val="40D9436E"/>
    <w:rsid w:val="40EA04AC"/>
    <w:rsid w:val="4161146E"/>
    <w:rsid w:val="41E006C1"/>
    <w:rsid w:val="41EA0C07"/>
    <w:rsid w:val="420316C8"/>
    <w:rsid w:val="422F08CE"/>
    <w:rsid w:val="42392B07"/>
    <w:rsid w:val="423D17EA"/>
    <w:rsid w:val="424B3D86"/>
    <w:rsid w:val="428E592F"/>
    <w:rsid w:val="42B828F9"/>
    <w:rsid w:val="42E60548"/>
    <w:rsid w:val="432E2717"/>
    <w:rsid w:val="434457B2"/>
    <w:rsid w:val="434C3619"/>
    <w:rsid w:val="43506B12"/>
    <w:rsid w:val="4397489C"/>
    <w:rsid w:val="43D71E4A"/>
    <w:rsid w:val="43F44623"/>
    <w:rsid w:val="4411329C"/>
    <w:rsid w:val="442152B3"/>
    <w:rsid w:val="44977B77"/>
    <w:rsid w:val="449F63E1"/>
    <w:rsid w:val="44DD2B08"/>
    <w:rsid w:val="450612FC"/>
    <w:rsid w:val="451E370B"/>
    <w:rsid w:val="45442083"/>
    <w:rsid w:val="4553744D"/>
    <w:rsid w:val="456368A2"/>
    <w:rsid w:val="459F3A15"/>
    <w:rsid w:val="45BE539C"/>
    <w:rsid w:val="45CA66FD"/>
    <w:rsid w:val="45FD2009"/>
    <w:rsid w:val="45FF233D"/>
    <w:rsid w:val="46996D13"/>
    <w:rsid w:val="469C2991"/>
    <w:rsid w:val="46DE72D9"/>
    <w:rsid w:val="46EB58A6"/>
    <w:rsid w:val="471A02F4"/>
    <w:rsid w:val="474F5B8A"/>
    <w:rsid w:val="4769522F"/>
    <w:rsid w:val="47A91EAC"/>
    <w:rsid w:val="47DC322F"/>
    <w:rsid w:val="47E40204"/>
    <w:rsid w:val="47E72138"/>
    <w:rsid w:val="48063B92"/>
    <w:rsid w:val="481855F5"/>
    <w:rsid w:val="48247983"/>
    <w:rsid w:val="48336D07"/>
    <w:rsid w:val="48443251"/>
    <w:rsid w:val="484B1D50"/>
    <w:rsid w:val="486312F8"/>
    <w:rsid w:val="487571EB"/>
    <w:rsid w:val="48EE0B36"/>
    <w:rsid w:val="49041548"/>
    <w:rsid w:val="493311B6"/>
    <w:rsid w:val="496F7558"/>
    <w:rsid w:val="49706D60"/>
    <w:rsid w:val="498E0F54"/>
    <w:rsid w:val="49C05279"/>
    <w:rsid w:val="49D66710"/>
    <w:rsid w:val="4A053616"/>
    <w:rsid w:val="4A0A6220"/>
    <w:rsid w:val="4A22734D"/>
    <w:rsid w:val="4A7D6027"/>
    <w:rsid w:val="4AA80866"/>
    <w:rsid w:val="4AB30705"/>
    <w:rsid w:val="4AD55D8E"/>
    <w:rsid w:val="4B17519F"/>
    <w:rsid w:val="4B250CF6"/>
    <w:rsid w:val="4B2A3F10"/>
    <w:rsid w:val="4B49543C"/>
    <w:rsid w:val="4B4B34F1"/>
    <w:rsid w:val="4B856CCC"/>
    <w:rsid w:val="4BC62B90"/>
    <w:rsid w:val="4BD72B29"/>
    <w:rsid w:val="4C0E6F87"/>
    <w:rsid w:val="4C1755C5"/>
    <w:rsid w:val="4C2320ED"/>
    <w:rsid w:val="4C2C7C28"/>
    <w:rsid w:val="4CBE3284"/>
    <w:rsid w:val="4CC1499E"/>
    <w:rsid w:val="4CC84230"/>
    <w:rsid w:val="4CE74DB6"/>
    <w:rsid w:val="4D312200"/>
    <w:rsid w:val="4D3C0DF7"/>
    <w:rsid w:val="4D427136"/>
    <w:rsid w:val="4D8B00F9"/>
    <w:rsid w:val="4DC00F3B"/>
    <w:rsid w:val="4E0534B9"/>
    <w:rsid w:val="4E6218C3"/>
    <w:rsid w:val="4E793DB9"/>
    <w:rsid w:val="4ECB3AAB"/>
    <w:rsid w:val="4EDB4E29"/>
    <w:rsid w:val="4EDE3CCF"/>
    <w:rsid w:val="4EF65E5D"/>
    <w:rsid w:val="4F0A0066"/>
    <w:rsid w:val="4F300158"/>
    <w:rsid w:val="4F4E51DD"/>
    <w:rsid w:val="4F780667"/>
    <w:rsid w:val="4FA5082F"/>
    <w:rsid w:val="4FBB7806"/>
    <w:rsid w:val="4FEC023B"/>
    <w:rsid w:val="50283BDE"/>
    <w:rsid w:val="50287BF6"/>
    <w:rsid w:val="50591DFC"/>
    <w:rsid w:val="507D6924"/>
    <w:rsid w:val="50C3506A"/>
    <w:rsid w:val="50C85A7B"/>
    <w:rsid w:val="51262D7E"/>
    <w:rsid w:val="51310848"/>
    <w:rsid w:val="51323189"/>
    <w:rsid w:val="51367890"/>
    <w:rsid w:val="513F703B"/>
    <w:rsid w:val="516428A2"/>
    <w:rsid w:val="51653AD3"/>
    <w:rsid w:val="517D12A9"/>
    <w:rsid w:val="518B344A"/>
    <w:rsid w:val="51AD63B6"/>
    <w:rsid w:val="51BE155D"/>
    <w:rsid w:val="51E01796"/>
    <w:rsid w:val="51F66A3F"/>
    <w:rsid w:val="520B46EF"/>
    <w:rsid w:val="5238651B"/>
    <w:rsid w:val="52520D97"/>
    <w:rsid w:val="5282421E"/>
    <w:rsid w:val="52AA554E"/>
    <w:rsid w:val="52E911A2"/>
    <w:rsid w:val="53CF37BC"/>
    <w:rsid w:val="53D63E3C"/>
    <w:rsid w:val="547941BA"/>
    <w:rsid w:val="54833A3C"/>
    <w:rsid w:val="549117E1"/>
    <w:rsid w:val="54E34296"/>
    <w:rsid w:val="54EF7433"/>
    <w:rsid w:val="553A7A0C"/>
    <w:rsid w:val="55436A5A"/>
    <w:rsid w:val="55475610"/>
    <w:rsid w:val="559E60DC"/>
    <w:rsid w:val="55BD2084"/>
    <w:rsid w:val="55E44DF8"/>
    <w:rsid w:val="560F5C7A"/>
    <w:rsid w:val="563C0066"/>
    <w:rsid w:val="56497D70"/>
    <w:rsid w:val="56860AB6"/>
    <w:rsid w:val="568F3E20"/>
    <w:rsid w:val="56942DFB"/>
    <w:rsid w:val="56B626CE"/>
    <w:rsid w:val="56CE7982"/>
    <w:rsid w:val="56DA0779"/>
    <w:rsid w:val="56FF49CC"/>
    <w:rsid w:val="575F3021"/>
    <w:rsid w:val="576C35B0"/>
    <w:rsid w:val="576E2082"/>
    <w:rsid w:val="57BA7C33"/>
    <w:rsid w:val="57CB1FE6"/>
    <w:rsid w:val="57DB77D8"/>
    <w:rsid w:val="57DE31BC"/>
    <w:rsid w:val="57EC2933"/>
    <w:rsid w:val="5810121A"/>
    <w:rsid w:val="5848634D"/>
    <w:rsid w:val="58985201"/>
    <w:rsid w:val="58BD08A3"/>
    <w:rsid w:val="58C11C28"/>
    <w:rsid w:val="58D719F6"/>
    <w:rsid w:val="58FC34A0"/>
    <w:rsid w:val="590A3A43"/>
    <w:rsid w:val="590E4F7E"/>
    <w:rsid w:val="59366936"/>
    <w:rsid w:val="59744EAB"/>
    <w:rsid w:val="597B727D"/>
    <w:rsid w:val="598C5287"/>
    <w:rsid w:val="59A709D3"/>
    <w:rsid w:val="59D86215"/>
    <w:rsid w:val="5A09330A"/>
    <w:rsid w:val="5A474EBA"/>
    <w:rsid w:val="5A481B66"/>
    <w:rsid w:val="5AFD0556"/>
    <w:rsid w:val="5B0E0D0A"/>
    <w:rsid w:val="5B1E5F4C"/>
    <w:rsid w:val="5B2D1B30"/>
    <w:rsid w:val="5B2F71B0"/>
    <w:rsid w:val="5B412712"/>
    <w:rsid w:val="5B541C45"/>
    <w:rsid w:val="5B5A3442"/>
    <w:rsid w:val="5B624560"/>
    <w:rsid w:val="5B7035FC"/>
    <w:rsid w:val="5B9307D9"/>
    <w:rsid w:val="5BA9509A"/>
    <w:rsid w:val="5BC00167"/>
    <w:rsid w:val="5BCA622F"/>
    <w:rsid w:val="5BEB4821"/>
    <w:rsid w:val="5BF54293"/>
    <w:rsid w:val="5C640DFC"/>
    <w:rsid w:val="5C6513E5"/>
    <w:rsid w:val="5C9217CC"/>
    <w:rsid w:val="5CC877D0"/>
    <w:rsid w:val="5CD0239D"/>
    <w:rsid w:val="5D137051"/>
    <w:rsid w:val="5D377757"/>
    <w:rsid w:val="5D864507"/>
    <w:rsid w:val="5D8A5AAE"/>
    <w:rsid w:val="5DE177F3"/>
    <w:rsid w:val="5DE22A3A"/>
    <w:rsid w:val="5DF36D52"/>
    <w:rsid w:val="5DF66D22"/>
    <w:rsid w:val="5E056E5C"/>
    <w:rsid w:val="5E401CD1"/>
    <w:rsid w:val="5E474E1A"/>
    <w:rsid w:val="5E476B31"/>
    <w:rsid w:val="5EB415EC"/>
    <w:rsid w:val="5EE90CCF"/>
    <w:rsid w:val="5F636E40"/>
    <w:rsid w:val="5F9E102A"/>
    <w:rsid w:val="5FF4455F"/>
    <w:rsid w:val="60043085"/>
    <w:rsid w:val="600709FF"/>
    <w:rsid w:val="603A5AB7"/>
    <w:rsid w:val="604E0986"/>
    <w:rsid w:val="60580D72"/>
    <w:rsid w:val="608A0BEF"/>
    <w:rsid w:val="60A97CFA"/>
    <w:rsid w:val="60C36243"/>
    <w:rsid w:val="60CC069A"/>
    <w:rsid w:val="60E4742F"/>
    <w:rsid w:val="60FB365E"/>
    <w:rsid w:val="610F66D6"/>
    <w:rsid w:val="613F7A4A"/>
    <w:rsid w:val="615B2577"/>
    <w:rsid w:val="616E4A62"/>
    <w:rsid w:val="61880D4A"/>
    <w:rsid w:val="61963438"/>
    <w:rsid w:val="61D109E3"/>
    <w:rsid w:val="61D76469"/>
    <w:rsid w:val="61DC14CF"/>
    <w:rsid w:val="62063F38"/>
    <w:rsid w:val="622978BA"/>
    <w:rsid w:val="62335AA7"/>
    <w:rsid w:val="629B6AF9"/>
    <w:rsid w:val="62AD5D7D"/>
    <w:rsid w:val="62E91F1F"/>
    <w:rsid w:val="632A359D"/>
    <w:rsid w:val="63357CFB"/>
    <w:rsid w:val="63527069"/>
    <w:rsid w:val="635E59F5"/>
    <w:rsid w:val="639B2B33"/>
    <w:rsid w:val="63BE3196"/>
    <w:rsid w:val="642A217B"/>
    <w:rsid w:val="643D6901"/>
    <w:rsid w:val="644B16E0"/>
    <w:rsid w:val="64725029"/>
    <w:rsid w:val="647B4182"/>
    <w:rsid w:val="648B2000"/>
    <w:rsid w:val="6492244F"/>
    <w:rsid w:val="649A63C2"/>
    <w:rsid w:val="64A32D35"/>
    <w:rsid w:val="64F47EA9"/>
    <w:rsid w:val="65447262"/>
    <w:rsid w:val="655A6882"/>
    <w:rsid w:val="65817832"/>
    <w:rsid w:val="658C66A4"/>
    <w:rsid w:val="65A6197D"/>
    <w:rsid w:val="66430E4F"/>
    <w:rsid w:val="66485325"/>
    <w:rsid w:val="66521572"/>
    <w:rsid w:val="667345B2"/>
    <w:rsid w:val="668371C2"/>
    <w:rsid w:val="66956C9A"/>
    <w:rsid w:val="669B5428"/>
    <w:rsid w:val="66BA6446"/>
    <w:rsid w:val="66D9451F"/>
    <w:rsid w:val="66ED7039"/>
    <w:rsid w:val="67011C58"/>
    <w:rsid w:val="67056EDC"/>
    <w:rsid w:val="67237C6B"/>
    <w:rsid w:val="67463A9B"/>
    <w:rsid w:val="67FB27E7"/>
    <w:rsid w:val="6803334E"/>
    <w:rsid w:val="680D04B8"/>
    <w:rsid w:val="68732455"/>
    <w:rsid w:val="68780FD9"/>
    <w:rsid w:val="68A07D25"/>
    <w:rsid w:val="68BB3075"/>
    <w:rsid w:val="68CE1917"/>
    <w:rsid w:val="68D02DB4"/>
    <w:rsid w:val="68D31845"/>
    <w:rsid w:val="68F85EC2"/>
    <w:rsid w:val="68FC23DA"/>
    <w:rsid w:val="69274546"/>
    <w:rsid w:val="6944311D"/>
    <w:rsid w:val="69605272"/>
    <w:rsid w:val="696736D4"/>
    <w:rsid w:val="6A601969"/>
    <w:rsid w:val="6A925976"/>
    <w:rsid w:val="6A9C0DB2"/>
    <w:rsid w:val="6A9E7CDE"/>
    <w:rsid w:val="6ABB7631"/>
    <w:rsid w:val="6AC7046A"/>
    <w:rsid w:val="6AD62924"/>
    <w:rsid w:val="6B356C59"/>
    <w:rsid w:val="6B547791"/>
    <w:rsid w:val="6B9E5944"/>
    <w:rsid w:val="6BC14D74"/>
    <w:rsid w:val="6BC45783"/>
    <w:rsid w:val="6BD323D5"/>
    <w:rsid w:val="6BDA6AFB"/>
    <w:rsid w:val="6C0B2C13"/>
    <w:rsid w:val="6C0B3611"/>
    <w:rsid w:val="6C1F73B7"/>
    <w:rsid w:val="6C2C323E"/>
    <w:rsid w:val="6C591A25"/>
    <w:rsid w:val="6C607738"/>
    <w:rsid w:val="6C8D1208"/>
    <w:rsid w:val="6CCA5897"/>
    <w:rsid w:val="6CFF4843"/>
    <w:rsid w:val="6E03741D"/>
    <w:rsid w:val="6E07493C"/>
    <w:rsid w:val="6E261420"/>
    <w:rsid w:val="6E277F49"/>
    <w:rsid w:val="6E807BA1"/>
    <w:rsid w:val="6E943C72"/>
    <w:rsid w:val="6EBB4657"/>
    <w:rsid w:val="6EF26CF9"/>
    <w:rsid w:val="6F004E14"/>
    <w:rsid w:val="6F0430B3"/>
    <w:rsid w:val="6F115889"/>
    <w:rsid w:val="6F4F6CA4"/>
    <w:rsid w:val="6F5A692C"/>
    <w:rsid w:val="702126AE"/>
    <w:rsid w:val="702D2ED0"/>
    <w:rsid w:val="7081364D"/>
    <w:rsid w:val="7085042E"/>
    <w:rsid w:val="70BE053F"/>
    <w:rsid w:val="70ED3239"/>
    <w:rsid w:val="70F54AEA"/>
    <w:rsid w:val="70F95F13"/>
    <w:rsid w:val="7101158E"/>
    <w:rsid w:val="7138098C"/>
    <w:rsid w:val="716258BF"/>
    <w:rsid w:val="718645F5"/>
    <w:rsid w:val="719E6273"/>
    <w:rsid w:val="71B223AE"/>
    <w:rsid w:val="71BD2292"/>
    <w:rsid w:val="71D96437"/>
    <w:rsid w:val="71F70BA5"/>
    <w:rsid w:val="72247A49"/>
    <w:rsid w:val="727F3977"/>
    <w:rsid w:val="72853E69"/>
    <w:rsid w:val="72A066E9"/>
    <w:rsid w:val="72A42903"/>
    <w:rsid w:val="72FB2308"/>
    <w:rsid w:val="73581F79"/>
    <w:rsid w:val="73904215"/>
    <w:rsid w:val="739253BF"/>
    <w:rsid w:val="73A81ABA"/>
    <w:rsid w:val="73A97EFB"/>
    <w:rsid w:val="73B70CDA"/>
    <w:rsid w:val="73C46083"/>
    <w:rsid w:val="73E64781"/>
    <w:rsid w:val="73FA0C30"/>
    <w:rsid w:val="740E04F0"/>
    <w:rsid w:val="74125222"/>
    <w:rsid w:val="74280364"/>
    <w:rsid w:val="74993437"/>
    <w:rsid w:val="749970F5"/>
    <w:rsid w:val="74A42E80"/>
    <w:rsid w:val="74C32C1A"/>
    <w:rsid w:val="7516475D"/>
    <w:rsid w:val="75825121"/>
    <w:rsid w:val="758F0E73"/>
    <w:rsid w:val="759156F1"/>
    <w:rsid w:val="759A6492"/>
    <w:rsid w:val="75EE3439"/>
    <w:rsid w:val="76447865"/>
    <w:rsid w:val="76955960"/>
    <w:rsid w:val="76A05928"/>
    <w:rsid w:val="76D12F2B"/>
    <w:rsid w:val="76D665A7"/>
    <w:rsid w:val="77033747"/>
    <w:rsid w:val="771B1ABA"/>
    <w:rsid w:val="77317341"/>
    <w:rsid w:val="776A4608"/>
    <w:rsid w:val="7788193E"/>
    <w:rsid w:val="77B97477"/>
    <w:rsid w:val="77BD5622"/>
    <w:rsid w:val="77DB656B"/>
    <w:rsid w:val="7808735D"/>
    <w:rsid w:val="783708A9"/>
    <w:rsid w:val="78516483"/>
    <w:rsid w:val="78BE36E9"/>
    <w:rsid w:val="791202C0"/>
    <w:rsid w:val="79B51695"/>
    <w:rsid w:val="79CD566F"/>
    <w:rsid w:val="7A4165E6"/>
    <w:rsid w:val="7A485532"/>
    <w:rsid w:val="7A5857A0"/>
    <w:rsid w:val="7A6E6723"/>
    <w:rsid w:val="7A99754C"/>
    <w:rsid w:val="7AD163AB"/>
    <w:rsid w:val="7B656982"/>
    <w:rsid w:val="7B8D44FB"/>
    <w:rsid w:val="7BCE5621"/>
    <w:rsid w:val="7BD838BD"/>
    <w:rsid w:val="7C181ADF"/>
    <w:rsid w:val="7C1A335F"/>
    <w:rsid w:val="7C47455E"/>
    <w:rsid w:val="7C495471"/>
    <w:rsid w:val="7C4D07F9"/>
    <w:rsid w:val="7C843F1E"/>
    <w:rsid w:val="7C946D51"/>
    <w:rsid w:val="7CC12B86"/>
    <w:rsid w:val="7CC4267E"/>
    <w:rsid w:val="7CDB29C9"/>
    <w:rsid w:val="7D1620B5"/>
    <w:rsid w:val="7D2250F0"/>
    <w:rsid w:val="7D2F5570"/>
    <w:rsid w:val="7D617520"/>
    <w:rsid w:val="7DBE16F3"/>
    <w:rsid w:val="7DF43673"/>
    <w:rsid w:val="7E0C7F7E"/>
    <w:rsid w:val="7E4077F2"/>
    <w:rsid w:val="7E5F6BC4"/>
    <w:rsid w:val="7E877429"/>
    <w:rsid w:val="7E9E5A5E"/>
    <w:rsid w:val="7EF22DBE"/>
    <w:rsid w:val="7EF5018E"/>
    <w:rsid w:val="7F0A7CDB"/>
    <w:rsid w:val="7F1461BE"/>
    <w:rsid w:val="7F2B2B52"/>
    <w:rsid w:val="7F6779C4"/>
    <w:rsid w:val="7F6F2EFC"/>
    <w:rsid w:val="7F786304"/>
    <w:rsid w:val="7FC37289"/>
    <w:rsid w:val="7FED0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1"/>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62"/>
    <w:qFormat/>
    <w:uiPriority w:val="0"/>
    <w:pPr>
      <w:keepNext/>
      <w:keepLines/>
      <w:spacing w:before="260" w:after="260" w:line="413" w:lineRule="auto"/>
      <w:outlineLvl w:val="1"/>
    </w:pPr>
    <w:rPr>
      <w:rFonts w:ascii="Cambria" w:hAnsi="Cambria"/>
      <w:b/>
      <w:bCs/>
      <w:sz w:val="32"/>
      <w:szCs w:val="32"/>
    </w:rPr>
  </w:style>
  <w:style w:type="paragraph" w:styleId="4">
    <w:name w:val="heading 3"/>
    <w:basedOn w:val="1"/>
    <w:next w:val="1"/>
    <w:link w:val="63"/>
    <w:qFormat/>
    <w:uiPriority w:val="0"/>
    <w:pPr>
      <w:keepNext/>
      <w:keepLines/>
      <w:spacing w:before="260" w:after="260" w:line="413" w:lineRule="auto"/>
      <w:outlineLvl w:val="2"/>
    </w:pPr>
    <w:rPr>
      <w:b/>
      <w:bCs/>
      <w:sz w:val="32"/>
      <w:szCs w:val="32"/>
    </w:rPr>
  </w:style>
  <w:style w:type="paragraph" w:styleId="5">
    <w:name w:val="heading 4"/>
    <w:basedOn w:val="1"/>
    <w:next w:val="1"/>
    <w:link w:val="64"/>
    <w:qFormat/>
    <w:uiPriority w:val="0"/>
    <w:pPr>
      <w:widowControl/>
      <w:spacing w:before="100" w:beforeAutospacing="1" w:after="100" w:afterAutospacing="1"/>
      <w:jc w:val="left"/>
      <w:outlineLvl w:val="3"/>
    </w:pPr>
    <w:rPr>
      <w:rFonts w:ascii="宋体" w:hAnsi="宋体"/>
      <w:b/>
      <w:bCs/>
      <w:kern w:val="0"/>
      <w:sz w:val="24"/>
    </w:rPr>
  </w:style>
  <w:style w:type="paragraph" w:styleId="6">
    <w:name w:val="heading 5"/>
    <w:basedOn w:val="1"/>
    <w:next w:val="1"/>
    <w:link w:val="65"/>
    <w:qFormat/>
    <w:uiPriority w:val="0"/>
    <w:pPr>
      <w:widowControl/>
      <w:spacing w:before="100" w:beforeAutospacing="1" w:after="100" w:afterAutospacing="1"/>
      <w:jc w:val="left"/>
      <w:outlineLvl w:val="4"/>
    </w:pPr>
    <w:rPr>
      <w:rFonts w:ascii="宋体" w:hAnsi="宋体"/>
      <w:b/>
      <w:bCs/>
      <w:kern w:val="0"/>
      <w:sz w:val="20"/>
      <w:szCs w:val="20"/>
    </w:rPr>
  </w:style>
  <w:style w:type="paragraph" w:styleId="7">
    <w:name w:val="heading 6"/>
    <w:basedOn w:val="8"/>
    <w:next w:val="1"/>
    <w:link w:val="66"/>
    <w:qFormat/>
    <w:uiPriority w:val="0"/>
    <w:pPr>
      <w:keepNext/>
      <w:keepLines/>
      <w:ind w:firstLine="200" w:firstLineChars="200"/>
      <w:outlineLvl w:val="5"/>
    </w:pPr>
    <w:rPr>
      <w:rFonts w:hAnsi="Arial"/>
    </w:rPr>
  </w:style>
  <w:style w:type="paragraph" w:styleId="9">
    <w:name w:val="heading 7"/>
    <w:basedOn w:val="1"/>
    <w:next w:val="1"/>
    <w:link w:val="67"/>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0">
    <w:name w:val="heading 8"/>
    <w:basedOn w:val="1"/>
    <w:next w:val="1"/>
    <w:link w:val="68"/>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1">
    <w:name w:val="heading 9"/>
    <w:basedOn w:val="1"/>
    <w:next w:val="1"/>
    <w:link w:val="69"/>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51">
    <w:name w:val="Default Paragraph Font"/>
    <w:semiHidden/>
    <w:unhideWhenUsed/>
    <w:qFormat/>
    <w:uiPriority w:val="1"/>
  </w:style>
  <w:style w:type="table" w:default="1" w:styleId="60">
    <w:name w:val="Normal Table"/>
    <w:semiHidden/>
    <w:unhideWhenUsed/>
    <w:qFormat/>
    <w:uiPriority w:val="99"/>
    <w:tblPr>
      <w:tblLayout w:type="fixed"/>
      <w:tblCellMar>
        <w:top w:w="0" w:type="dxa"/>
        <w:left w:w="108" w:type="dxa"/>
        <w:bottom w:w="0" w:type="dxa"/>
        <w:right w:w="108" w:type="dxa"/>
      </w:tblCellMar>
    </w:tblPr>
  </w:style>
  <w:style w:type="paragraph" w:styleId="8">
    <w:name w:val="Normal Indent"/>
    <w:basedOn w:val="1"/>
    <w:qFormat/>
    <w:uiPriority w:val="0"/>
    <w:pPr>
      <w:adjustRightInd w:val="0"/>
      <w:spacing w:line="480" w:lineRule="atLeast"/>
      <w:ind w:firstLine="600"/>
      <w:textAlignment w:val="baseline"/>
    </w:pPr>
    <w:rPr>
      <w:rFonts w:eastAsia="仿宋_GB2312"/>
      <w:kern w:val="0"/>
      <w:sz w:val="30"/>
      <w:szCs w:val="20"/>
    </w:rPr>
  </w:style>
  <w:style w:type="paragraph" w:styleId="12">
    <w:name w:val="List 3"/>
    <w:basedOn w:val="1"/>
    <w:qFormat/>
    <w:uiPriority w:val="0"/>
    <w:pPr>
      <w:ind w:left="1260" w:hanging="420"/>
    </w:pPr>
    <w:rPr>
      <w:szCs w:val="20"/>
    </w:rPr>
  </w:style>
  <w:style w:type="paragraph" w:styleId="13">
    <w:name w:val="annotation subject"/>
    <w:basedOn w:val="14"/>
    <w:next w:val="14"/>
    <w:link w:val="79"/>
    <w:qFormat/>
    <w:uiPriority w:val="0"/>
    <w:rPr>
      <w:b/>
      <w:bCs/>
    </w:rPr>
  </w:style>
  <w:style w:type="paragraph" w:styleId="14">
    <w:name w:val="annotation text"/>
    <w:basedOn w:val="1"/>
    <w:link w:val="80"/>
    <w:qFormat/>
    <w:uiPriority w:val="0"/>
    <w:pPr>
      <w:jc w:val="left"/>
    </w:pPr>
  </w:style>
  <w:style w:type="paragraph" w:styleId="15">
    <w:name w:val="toc 7"/>
    <w:basedOn w:val="1"/>
    <w:next w:val="1"/>
    <w:qFormat/>
    <w:uiPriority w:val="0"/>
    <w:pPr>
      <w:ind w:left="1260"/>
      <w:jc w:val="left"/>
    </w:pPr>
    <w:rPr>
      <w:sz w:val="18"/>
      <w:szCs w:val="18"/>
    </w:rPr>
  </w:style>
  <w:style w:type="paragraph" w:styleId="16">
    <w:name w:val="Body Text First Indent"/>
    <w:basedOn w:val="1"/>
    <w:link w:val="306"/>
    <w:qFormat/>
    <w:uiPriority w:val="0"/>
    <w:pPr>
      <w:spacing w:line="312" w:lineRule="auto"/>
      <w:ind w:firstLine="420"/>
    </w:pPr>
  </w:style>
  <w:style w:type="paragraph" w:styleId="17">
    <w:name w:val="caption"/>
    <w:basedOn w:val="1"/>
    <w:next w:val="1"/>
    <w:qFormat/>
    <w:uiPriority w:val="0"/>
    <w:rPr>
      <w:rFonts w:ascii="Cambria" w:hAnsi="Cambria" w:eastAsia="黑体"/>
      <w:sz w:val="20"/>
      <w:szCs w:val="20"/>
    </w:rPr>
  </w:style>
  <w:style w:type="paragraph" w:styleId="18">
    <w:name w:val="Document Map"/>
    <w:basedOn w:val="1"/>
    <w:link w:val="84"/>
    <w:qFormat/>
    <w:uiPriority w:val="0"/>
    <w:pPr>
      <w:shd w:val="clear" w:color="auto" w:fill="000080"/>
    </w:pPr>
    <w:rPr>
      <w:shd w:val="clear" w:color="auto" w:fill="000080"/>
    </w:rPr>
  </w:style>
  <w:style w:type="paragraph" w:styleId="19">
    <w:name w:val="Salutation"/>
    <w:basedOn w:val="1"/>
    <w:next w:val="1"/>
    <w:link w:val="356"/>
    <w:qFormat/>
    <w:uiPriority w:val="0"/>
    <w:rPr>
      <w:rFonts w:ascii="楷体_GB2312" w:eastAsia="楷体_GB2312"/>
      <w:sz w:val="28"/>
      <w:szCs w:val="20"/>
    </w:rPr>
  </w:style>
  <w:style w:type="paragraph" w:styleId="20">
    <w:name w:val="Body Text 3"/>
    <w:basedOn w:val="1"/>
    <w:link w:val="81"/>
    <w:qFormat/>
    <w:uiPriority w:val="0"/>
    <w:pPr>
      <w:spacing w:after="120"/>
    </w:pPr>
    <w:rPr>
      <w:sz w:val="16"/>
      <w:szCs w:val="16"/>
    </w:rPr>
  </w:style>
  <w:style w:type="paragraph" w:styleId="21">
    <w:name w:val="Body Text"/>
    <w:basedOn w:val="1"/>
    <w:link w:val="78"/>
    <w:qFormat/>
    <w:uiPriority w:val="0"/>
    <w:pPr>
      <w:spacing w:after="120"/>
    </w:pPr>
  </w:style>
  <w:style w:type="paragraph" w:styleId="22">
    <w:name w:val="Body Text Indent"/>
    <w:basedOn w:val="1"/>
    <w:link w:val="100"/>
    <w:qFormat/>
    <w:uiPriority w:val="0"/>
    <w:pPr>
      <w:ind w:firstLine="407" w:firstLineChars="200"/>
    </w:pPr>
  </w:style>
  <w:style w:type="paragraph" w:styleId="23">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4">
    <w:name w:val="index 4"/>
    <w:basedOn w:val="1"/>
    <w:next w:val="1"/>
    <w:qFormat/>
    <w:uiPriority w:val="0"/>
    <w:pPr>
      <w:ind w:left="600" w:leftChars="600"/>
    </w:pPr>
  </w:style>
  <w:style w:type="paragraph" w:styleId="25">
    <w:name w:val="toc 5"/>
    <w:basedOn w:val="1"/>
    <w:next w:val="1"/>
    <w:qFormat/>
    <w:uiPriority w:val="0"/>
    <w:pPr>
      <w:ind w:left="840"/>
      <w:jc w:val="left"/>
    </w:pPr>
    <w:rPr>
      <w:sz w:val="18"/>
      <w:szCs w:val="18"/>
    </w:rPr>
  </w:style>
  <w:style w:type="paragraph" w:styleId="26">
    <w:name w:val="toc 3"/>
    <w:basedOn w:val="4"/>
    <w:next w:val="1"/>
    <w:qFormat/>
    <w:uiPriority w:val="0"/>
    <w:pPr>
      <w:keepNext w:val="0"/>
      <w:keepLines w:val="0"/>
      <w:spacing w:before="0" w:after="0" w:line="240" w:lineRule="auto"/>
      <w:ind w:left="420"/>
      <w:jc w:val="left"/>
      <w:outlineLvl w:val="9"/>
    </w:pPr>
    <w:rPr>
      <w:b w:val="0"/>
      <w:bCs w:val="0"/>
      <w:iCs/>
      <w:sz w:val="21"/>
      <w:szCs w:val="20"/>
    </w:rPr>
  </w:style>
  <w:style w:type="paragraph" w:styleId="27">
    <w:name w:val="Plain Text"/>
    <w:basedOn w:val="1"/>
    <w:link w:val="104"/>
    <w:qFormat/>
    <w:uiPriority w:val="0"/>
    <w:rPr>
      <w:rFonts w:ascii="宋体" w:hAnsi="Courier New"/>
      <w:szCs w:val="21"/>
    </w:rPr>
  </w:style>
  <w:style w:type="paragraph" w:styleId="28">
    <w:name w:val="toc 8"/>
    <w:basedOn w:val="1"/>
    <w:next w:val="1"/>
    <w:qFormat/>
    <w:uiPriority w:val="0"/>
    <w:pPr>
      <w:ind w:left="1470"/>
      <w:jc w:val="left"/>
    </w:pPr>
    <w:rPr>
      <w:sz w:val="18"/>
      <w:szCs w:val="18"/>
    </w:rPr>
  </w:style>
  <w:style w:type="paragraph" w:styleId="29">
    <w:name w:val="Date"/>
    <w:basedOn w:val="1"/>
    <w:next w:val="1"/>
    <w:link w:val="95"/>
    <w:qFormat/>
    <w:uiPriority w:val="0"/>
    <w:pPr>
      <w:ind w:left="100" w:leftChars="2500"/>
    </w:pPr>
  </w:style>
  <w:style w:type="paragraph" w:styleId="30">
    <w:name w:val="Body Text Indent 2"/>
    <w:basedOn w:val="1"/>
    <w:link w:val="94"/>
    <w:qFormat/>
    <w:uiPriority w:val="0"/>
    <w:pPr>
      <w:widowControl/>
      <w:spacing w:line="480" w:lineRule="auto"/>
      <w:ind w:firstLine="560"/>
      <w:jc w:val="left"/>
    </w:pPr>
    <w:rPr>
      <w:kern w:val="0"/>
      <w:sz w:val="28"/>
    </w:rPr>
  </w:style>
  <w:style w:type="paragraph" w:styleId="31">
    <w:name w:val="endnote text"/>
    <w:basedOn w:val="1"/>
    <w:link w:val="111"/>
    <w:qFormat/>
    <w:uiPriority w:val="0"/>
    <w:pPr>
      <w:widowControl/>
      <w:snapToGrid w:val="0"/>
      <w:jc w:val="left"/>
    </w:pPr>
    <w:rPr>
      <w:rFonts w:ascii="Arial" w:hAnsi="Arial"/>
      <w:kern w:val="0"/>
      <w:sz w:val="20"/>
      <w:lang w:eastAsia="en-US"/>
    </w:rPr>
  </w:style>
  <w:style w:type="paragraph" w:styleId="32">
    <w:name w:val="Balloon Text"/>
    <w:basedOn w:val="1"/>
    <w:link w:val="98"/>
    <w:qFormat/>
    <w:uiPriority w:val="0"/>
    <w:rPr>
      <w:sz w:val="18"/>
      <w:szCs w:val="18"/>
    </w:rPr>
  </w:style>
  <w:style w:type="paragraph" w:styleId="33">
    <w:name w:val="footer"/>
    <w:basedOn w:val="1"/>
    <w:link w:val="88"/>
    <w:qFormat/>
    <w:uiPriority w:val="99"/>
    <w:pPr>
      <w:tabs>
        <w:tab w:val="center" w:pos="4153"/>
        <w:tab w:val="right" w:pos="8306"/>
      </w:tabs>
      <w:snapToGrid w:val="0"/>
      <w:jc w:val="left"/>
    </w:pPr>
    <w:rPr>
      <w:sz w:val="18"/>
      <w:szCs w:val="18"/>
    </w:rPr>
  </w:style>
  <w:style w:type="paragraph" w:styleId="34">
    <w:name w:val="header"/>
    <w:basedOn w:val="1"/>
    <w:link w:val="105"/>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2"/>
    <w:next w:val="1"/>
    <w:qFormat/>
    <w:uiPriority w:val="0"/>
    <w:pPr>
      <w:keepNext w:val="0"/>
      <w:keepLines w:val="0"/>
      <w:tabs>
        <w:tab w:val="right" w:leader="dot" w:pos="9117"/>
      </w:tabs>
      <w:spacing w:before="120" w:after="120" w:line="240" w:lineRule="auto"/>
      <w:jc w:val="left"/>
      <w:outlineLvl w:val="9"/>
    </w:pPr>
    <w:rPr>
      <w:caps/>
      <w:kern w:val="2"/>
      <w:sz w:val="28"/>
      <w:szCs w:val="20"/>
    </w:rPr>
  </w:style>
  <w:style w:type="paragraph" w:styleId="36">
    <w:name w:val="toc 4"/>
    <w:basedOn w:val="5"/>
    <w:next w:val="1"/>
    <w:qFormat/>
    <w:uiPriority w:val="0"/>
    <w:pPr>
      <w:widowControl w:val="0"/>
      <w:spacing w:before="0" w:beforeAutospacing="0" w:after="0" w:afterAutospacing="0"/>
      <w:ind w:left="630"/>
      <w:outlineLvl w:val="9"/>
    </w:pPr>
    <w:rPr>
      <w:rFonts w:ascii="Times New Roman" w:hAnsi="Times New Roman"/>
      <w:b w:val="0"/>
      <w:bCs w:val="0"/>
      <w:kern w:val="2"/>
      <w:sz w:val="18"/>
      <w:szCs w:val="18"/>
    </w:rPr>
  </w:style>
  <w:style w:type="paragraph" w:styleId="37">
    <w:name w:val="Subtitle"/>
    <w:basedOn w:val="1"/>
    <w:link w:val="76"/>
    <w:qFormat/>
    <w:uiPriority w:val="0"/>
    <w:pPr>
      <w:widowControl/>
      <w:jc w:val="center"/>
    </w:pPr>
    <w:rPr>
      <w:kern w:val="0"/>
      <w:sz w:val="20"/>
      <w:u w:val="single"/>
      <w:lang w:eastAsia="en-US"/>
    </w:rPr>
  </w:style>
  <w:style w:type="paragraph" w:styleId="38">
    <w:name w:val="List"/>
    <w:basedOn w:val="1"/>
    <w:qFormat/>
    <w:uiPriority w:val="0"/>
    <w:pPr>
      <w:ind w:left="200" w:hanging="200" w:hangingChars="200"/>
    </w:pPr>
  </w:style>
  <w:style w:type="paragraph" w:styleId="39">
    <w:name w:val="footnote text"/>
    <w:basedOn w:val="1"/>
    <w:link w:val="72"/>
    <w:qFormat/>
    <w:uiPriority w:val="0"/>
    <w:pPr>
      <w:widowControl/>
      <w:snapToGrid w:val="0"/>
      <w:jc w:val="left"/>
    </w:pPr>
    <w:rPr>
      <w:rFonts w:ascii="Arial" w:hAnsi="Arial"/>
      <w:kern w:val="0"/>
      <w:sz w:val="18"/>
      <w:szCs w:val="18"/>
      <w:lang w:eastAsia="en-US"/>
    </w:rPr>
  </w:style>
  <w:style w:type="paragraph" w:styleId="40">
    <w:name w:val="toc 6"/>
    <w:basedOn w:val="1"/>
    <w:next w:val="1"/>
    <w:qFormat/>
    <w:uiPriority w:val="0"/>
    <w:pPr>
      <w:ind w:left="1050"/>
      <w:jc w:val="left"/>
    </w:pPr>
    <w:rPr>
      <w:sz w:val="18"/>
      <w:szCs w:val="18"/>
    </w:rPr>
  </w:style>
  <w:style w:type="paragraph" w:styleId="41">
    <w:name w:val="List 5"/>
    <w:basedOn w:val="1"/>
    <w:qFormat/>
    <w:uiPriority w:val="0"/>
    <w:pPr>
      <w:ind w:left="2100" w:hanging="420"/>
    </w:pPr>
    <w:rPr>
      <w:szCs w:val="20"/>
    </w:rPr>
  </w:style>
  <w:style w:type="paragraph" w:styleId="42">
    <w:name w:val="Body Text Indent 3"/>
    <w:basedOn w:val="1"/>
    <w:link w:val="77"/>
    <w:qFormat/>
    <w:uiPriority w:val="0"/>
    <w:pPr>
      <w:spacing w:line="360" w:lineRule="auto"/>
      <w:ind w:firstLine="280" w:firstLineChars="100"/>
    </w:pPr>
    <w:rPr>
      <w:rFonts w:ascii="宋体" w:hAnsi="宋体"/>
      <w:sz w:val="28"/>
      <w:szCs w:val="28"/>
    </w:rPr>
  </w:style>
  <w:style w:type="paragraph" w:styleId="43">
    <w:name w:val="toc 2"/>
    <w:basedOn w:val="3"/>
    <w:next w:val="1"/>
    <w:qFormat/>
    <w:uiPriority w:val="0"/>
    <w:pPr>
      <w:keepNext w:val="0"/>
      <w:keepLines w:val="0"/>
      <w:tabs>
        <w:tab w:val="right" w:leader="dot" w:pos="9117"/>
      </w:tabs>
      <w:spacing w:before="0" w:after="0" w:line="360" w:lineRule="auto"/>
      <w:ind w:left="210"/>
      <w:jc w:val="left"/>
      <w:outlineLvl w:val="9"/>
    </w:pPr>
    <w:rPr>
      <w:rFonts w:ascii="Times New Roman" w:hAnsi="Times New Roman"/>
      <w:b w:val="0"/>
      <w:bCs w:val="0"/>
      <w:smallCaps/>
      <w:sz w:val="24"/>
      <w:szCs w:val="20"/>
    </w:rPr>
  </w:style>
  <w:style w:type="paragraph" w:styleId="44">
    <w:name w:val="toc 9"/>
    <w:basedOn w:val="1"/>
    <w:next w:val="1"/>
    <w:qFormat/>
    <w:uiPriority w:val="0"/>
    <w:pPr>
      <w:ind w:left="1680"/>
      <w:jc w:val="left"/>
    </w:pPr>
    <w:rPr>
      <w:sz w:val="18"/>
      <w:szCs w:val="18"/>
    </w:rPr>
  </w:style>
  <w:style w:type="paragraph" w:styleId="45">
    <w:name w:val="Body Text 2"/>
    <w:basedOn w:val="1"/>
    <w:link w:val="87"/>
    <w:qFormat/>
    <w:uiPriority w:val="0"/>
    <w:rPr>
      <w:i/>
      <w:iCs/>
      <w:sz w:val="26"/>
    </w:rPr>
  </w:style>
  <w:style w:type="paragraph" w:styleId="46">
    <w:name w:val="List 4"/>
    <w:basedOn w:val="1"/>
    <w:qFormat/>
    <w:uiPriority w:val="0"/>
    <w:pPr>
      <w:ind w:left="100" w:leftChars="600" w:hanging="200" w:hangingChars="200"/>
      <w:contextualSpacing/>
    </w:pPr>
  </w:style>
  <w:style w:type="paragraph" w:styleId="47">
    <w:name w:val="HTML Preformatted"/>
    <w:basedOn w:val="1"/>
    <w:link w:val="82"/>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4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9">
    <w:name w:val="index 1"/>
    <w:basedOn w:val="1"/>
    <w:next w:val="1"/>
    <w:qFormat/>
    <w:uiPriority w:val="0"/>
    <w:pPr>
      <w:spacing w:line="220" w:lineRule="exact"/>
      <w:jc w:val="center"/>
    </w:pPr>
    <w:rPr>
      <w:rFonts w:ascii="仿宋_GB2312" w:eastAsia="仿宋_GB2312"/>
      <w:szCs w:val="21"/>
    </w:rPr>
  </w:style>
  <w:style w:type="paragraph" w:styleId="50">
    <w:name w:val="Title"/>
    <w:basedOn w:val="1"/>
    <w:link w:val="109"/>
    <w:qFormat/>
    <w:uiPriority w:val="0"/>
    <w:pPr>
      <w:widowControl/>
      <w:jc w:val="center"/>
    </w:pPr>
    <w:rPr>
      <w:kern w:val="0"/>
      <w:sz w:val="20"/>
      <w:u w:val="single"/>
      <w:lang w:eastAsia="en-US"/>
    </w:rPr>
  </w:style>
  <w:style w:type="character" w:styleId="52">
    <w:name w:val="Strong"/>
    <w:qFormat/>
    <w:uiPriority w:val="0"/>
    <w:rPr>
      <w:b/>
      <w:bCs/>
    </w:rPr>
  </w:style>
  <w:style w:type="character" w:styleId="53">
    <w:name w:val="endnote reference"/>
    <w:qFormat/>
    <w:uiPriority w:val="0"/>
    <w:rPr>
      <w:vertAlign w:val="superscript"/>
    </w:rPr>
  </w:style>
  <w:style w:type="character" w:styleId="54">
    <w:name w:val="page number"/>
    <w:basedOn w:val="51"/>
    <w:qFormat/>
    <w:uiPriority w:val="0"/>
  </w:style>
  <w:style w:type="character" w:styleId="55">
    <w:name w:val="FollowedHyperlink"/>
    <w:qFormat/>
    <w:uiPriority w:val="0"/>
    <w:rPr>
      <w:color w:val="800080"/>
      <w:u w:val="single"/>
    </w:rPr>
  </w:style>
  <w:style w:type="character" w:styleId="56">
    <w:name w:val="Emphasis"/>
    <w:basedOn w:val="51"/>
    <w:qFormat/>
    <w:uiPriority w:val="0"/>
    <w:rPr>
      <w:color w:val="CC0000"/>
    </w:rPr>
  </w:style>
  <w:style w:type="character" w:styleId="57">
    <w:name w:val="Hyperlink"/>
    <w:qFormat/>
    <w:uiPriority w:val="0"/>
    <w:rPr>
      <w:color w:val="0000FF"/>
      <w:u w:val="single"/>
    </w:rPr>
  </w:style>
  <w:style w:type="character" w:styleId="58">
    <w:name w:val="annotation reference"/>
    <w:qFormat/>
    <w:uiPriority w:val="0"/>
    <w:rPr>
      <w:sz w:val="21"/>
      <w:szCs w:val="21"/>
    </w:rPr>
  </w:style>
  <w:style w:type="character" w:styleId="59">
    <w:name w:val="footnote reference"/>
    <w:qFormat/>
    <w:uiPriority w:val="0"/>
    <w:rPr>
      <w:vertAlign w:val="superscript"/>
    </w:rPr>
  </w:style>
  <w:style w:type="character" w:customStyle="1" w:styleId="61">
    <w:name w:val="标题 1 Char"/>
    <w:link w:val="2"/>
    <w:qFormat/>
    <w:uiPriority w:val="0"/>
    <w:rPr>
      <w:b/>
      <w:bCs/>
      <w:kern w:val="44"/>
      <w:sz w:val="44"/>
      <w:szCs w:val="44"/>
    </w:rPr>
  </w:style>
  <w:style w:type="character" w:customStyle="1" w:styleId="62">
    <w:name w:val="标题 2 Char"/>
    <w:link w:val="3"/>
    <w:qFormat/>
    <w:uiPriority w:val="0"/>
    <w:rPr>
      <w:rFonts w:ascii="Cambria" w:hAnsi="Cambria" w:eastAsia="宋体" w:cs="Times New Roman"/>
      <w:b/>
      <w:bCs/>
      <w:kern w:val="2"/>
      <w:sz w:val="32"/>
      <w:szCs w:val="32"/>
    </w:rPr>
  </w:style>
  <w:style w:type="character" w:customStyle="1" w:styleId="63">
    <w:name w:val="标题 3 Char"/>
    <w:link w:val="4"/>
    <w:qFormat/>
    <w:uiPriority w:val="0"/>
    <w:rPr>
      <w:b/>
      <w:bCs/>
      <w:kern w:val="2"/>
      <w:sz w:val="32"/>
      <w:szCs w:val="32"/>
    </w:rPr>
  </w:style>
  <w:style w:type="character" w:customStyle="1" w:styleId="64">
    <w:name w:val="标题 4 Char"/>
    <w:link w:val="5"/>
    <w:qFormat/>
    <w:uiPriority w:val="0"/>
    <w:rPr>
      <w:rFonts w:ascii="宋体" w:hAnsi="宋体" w:cs="宋体"/>
      <w:b/>
      <w:bCs/>
      <w:sz w:val="24"/>
      <w:szCs w:val="24"/>
    </w:rPr>
  </w:style>
  <w:style w:type="character" w:customStyle="1" w:styleId="65">
    <w:name w:val="标题 5 Char"/>
    <w:link w:val="6"/>
    <w:qFormat/>
    <w:uiPriority w:val="0"/>
    <w:rPr>
      <w:rFonts w:ascii="宋体" w:hAnsi="宋体" w:cs="宋体"/>
      <w:b/>
      <w:bCs/>
    </w:rPr>
  </w:style>
  <w:style w:type="character" w:customStyle="1" w:styleId="66">
    <w:name w:val="标题 6 Char"/>
    <w:link w:val="7"/>
    <w:qFormat/>
    <w:uiPriority w:val="0"/>
    <w:rPr>
      <w:rFonts w:hAnsi="Arial" w:eastAsia="仿宋_GB2312"/>
      <w:sz w:val="30"/>
    </w:rPr>
  </w:style>
  <w:style w:type="character" w:customStyle="1" w:styleId="67">
    <w:name w:val="标题 7 Char"/>
    <w:link w:val="9"/>
    <w:qFormat/>
    <w:uiPriority w:val="0"/>
    <w:rPr>
      <w:rFonts w:eastAsia="仿宋_GB2312"/>
      <w:sz w:val="30"/>
    </w:rPr>
  </w:style>
  <w:style w:type="character" w:customStyle="1" w:styleId="68">
    <w:name w:val="标题 8 Char"/>
    <w:link w:val="10"/>
    <w:qFormat/>
    <w:uiPriority w:val="0"/>
    <w:rPr>
      <w:rFonts w:hAnsi="Arial" w:eastAsia="仿宋_GB2312"/>
      <w:sz w:val="30"/>
    </w:rPr>
  </w:style>
  <w:style w:type="character" w:customStyle="1" w:styleId="69">
    <w:name w:val="标题 9 Char"/>
    <w:link w:val="11"/>
    <w:qFormat/>
    <w:uiPriority w:val="0"/>
    <w:rPr>
      <w:rFonts w:eastAsia="仿宋_GB2312"/>
      <w:sz w:val="30"/>
    </w:rPr>
  </w:style>
  <w:style w:type="character" w:customStyle="1" w:styleId="70">
    <w:name w:val="style21"/>
    <w:qFormat/>
    <w:uiPriority w:val="0"/>
    <w:rPr>
      <w:b/>
      <w:bCs/>
      <w:sz w:val="28"/>
      <w:szCs w:val="28"/>
    </w:rPr>
  </w:style>
  <w:style w:type="character" w:customStyle="1" w:styleId="71">
    <w:name w:val="intel3"/>
    <w:basedOn w:val="51"/>
    <w:qFormat/>
    <w:uiPriority w:val="0"/>
  </w:style>
  <w:style w:type="character" w:customStyle="1" w:styleId="72">
    <w:name w:val="脚注文本 Char"/>
    <w:link w:val="39"/>
    <w:qFormat/>
    <w:uiPriority w:val="0"/>
    <w:rPr>
      <w:rFonts w:ascii="Arial" w:hAnsi="Arial" w:cs="Arial"/>
      <w:sz w:val="18"/>
      <w:szCs w:val="18"/>
      <w:lang w:eastAsia="en-US"/>
    </w:rPr>
  </w:style>
  <w:style w:type="character" w:customStyle="1" w:styleId="73">
    <w:name w:val="title11"/>
    <w:qFormat/>
    <w:uiPriority w:val="0"/>
    <w:rPr>
      <w:b/>
      <w:bCs/>
      <w:color w:val="FFFFFF"/>
      <w:sz w:val="11"/>
      <w:szCs w:val="11"/>
    </w:rPr>
  </w:style>
  <w:style w:type="character" w:customStyle="1" w:styleId="74">
    <w:name w:val="myfont11"/>
    <w:qFormat/>
    <w:uiPriority w:val="0"/>
    <w:rPr>
      <w:rFonts w:hint="default" w:ascii="TYPE" w:hAnsi="TYPE"/>
      <w:color w:val="000000"/>
      <w:sz w:val="18"/>
      <w:szCs w:val="18"/>
      <w:u w:val="none"/>
    </w:rPr>
  </w:style>
  <w:style w:type="character" w:customStyle="1" w:styleId="75">
    <w:name w:val="14t1"/>
    <w:qFormat/>
    <w:uiPriority w:val="0"/>
    <w:rPr>
      <w:rFonts w:hint="eastAsia" w:ascii="宋体" w:hAnsi="宋体" w:eastAsia="宋体"/>
      <w:sz w:val="11"/>
      <w:szCs w:val="11"/>
    </w:rPr>
  </w:style>
  <w:style w:type="character" w:customStyle="1" w:styleId="76">
    <w:name w:val="副标题 Char"/>
    <w:link w:val="37"/>
    <w:qFormat/>
    <w:uiPriority w:val="0"/>
    <w:rPr>
      <w:szCs w:val="24"/>
      <w:u w:val="single"/>
      <w:lang w:eastAsia="en-US"/>
    </w:rPr>
  </w:style>
  <w:style w:type="character" w:customStyle="1" w:styleId="77">
    <w:name w:val="正文文本缩进 3 Char"/>
    <w:link w:val="42"/>
    <w:qFormat/>
    <w:uiPriority w:val="0"/>
    <w:rPr>
      <w:rFonts w:ascii="宋体" w:hAnsi="宋体"/>
      <w:kern w:val="2"/>
      <w:sz w:val="28"/>
      <w:szCs w:val="28"/>
    </w:rPr>
  </w:style>
  <w:style w:type="character" w:customStyle="1" w:styleId="78">
    <w:name w:val="正文文本 Char"/>
    <w:link w:val="21"/>
    <w:qFormat/>
    <w:uiPriority w:val="0"/>
    <w:rPr>
      <w:kern w:val="2"/>
      <w:sz w:val="21"/>
      <w:szCs w:val="24"/>
    </w:rPr>
  </w:style>
  <w:style w:type="character" w:customStyle="1" w:styleId="79">
    <w:name w:val="批注主题 Char1"/>
    <w:link w:val="13"/>
    <w:qFormat/>
    <w:uiPriority w:val="0"/>
    <w:rPr>
      <w:b/>
      <w:bCs/>
      <w:kern w:val="2"/>
      <w:sz w:val="21"/>
      <w:szCs w:val="24"/>
    </w:rPr>
  </w:style>
  <w:style w:type="character" w:customStyle="1" w:styleId="80">
    <w:name w:val="批注文字 Char"/>
    <w:link w:val="14"/>
    <w:qFormat/>
    <w:uiPriority w:val="0"/>
    <w:rPr>
      <w:kern w:val="2"/>
      <w:sz w:val="21"/>
      <w:szCs w:val="24"/>
    </w:rPr>
  </w:style>
  <w:style w:type="character" w:customStyle="1" w:styleId="81">
    <w:name w:val="正文文本 3 Char"/>
    <w:link w:val="20"/>
    <w:qFormat/>
    <w:uiPriority w:val="0"/>
    <w:rPr>
      <w:kern w:val="2"/>
      <w:sz w:val="16"/>
      <w:szCs w:val="16"/>
    </w:rPr>
  </w:style>
  <w:style w:type="character" w:customStyle="1" w:styleId="82">
    <w:name w:val="HTML 预设格式 Char"/>
    <w:link w:val="47"/>
    <w:qFormat/>
    <w:uiPriority w:val="99"/>
    <w:rPr>
      <w:rFonts w:ascii="宋体" w:hAnsi="宋体" w:cs="宋体"/>
      <w:color w:val="000000"/>
      <w:sz w:val="24"/>
      <w:szCs w:val="24"/>
    </w:rPr>
  </w:style>
  <w:style w:type="character" w:customStyle="1" w:styleId="83">
    <w:name w:val="0d1471"/>
    <w:qFormat/>
    <w:uiPriority w:val="0"/>
    <w:rPr>
      <w:color w:val="000000"/>
      <w:sz w:val="11"/>
      <w:szCs w:val="11"/>
      <w:u w:val="none"/>
    </w:rPr>
  </w:style>
  <w:style w:type="character" w:customStyle="1" w:styleId="84">
    <w:name w:val="文档结构图 Char"/>
    <w:link w:val="18"/>
    <w:qFormat/>
    <w:uiPriority w:val="0"/>
    <w:rPr>
      <w:kern w:val="2"/>
      <w:sz w:val="21"/>
      <w:szCs w:val="24"/>
      <w:shd w:val="clear" w:color="auto" w:fill="000080"/>
    </w:rPr>
  </w:style>
  <w:style w:type="character" w:customStyle="1" w:styleId="85">
    <w:name w:val="ca-41"/>
    <w:qFormat/>
    <w:uiPriority w:val="0"/>
    <w:rPr>
      <w:rFonts w:hint="eastAsia" w:ascii="宋体" w:hAnsi="宋体" w:eastAsia="宋体"/>
      <w:color w:val="FF0000"/>
      <w:sz w:val="28"/>
      <w:szCs w:val="28"/>
    </w:rPr>
  </w:style>
  <w:style w:type="character" w:customStyle="1" w:styleId="86">
    <w:name w:val="main_tdbg_7601"/>
    <w:qFormat/>
    <w:uiPriority w:val="0"/>
    <w:rPr>
      <w:sz w:val="14"/>
      <w:szCs w:val="14"/>
    </w:rPr>
  </w:style>
  <w:style w:type="character" w:customStyle="1" w:styleId="87">
    <w:name w:val="正文文本 2 Char"/>
    <w:link w:val="45"/>
    <w:qFormat/>
    <w:uiPriority w:val="0"/>
    <w:rPr>
      <w:i/>
      <w:iCs/>
      <w:kern w:val="2"/>
      <w:sz w:val="26"/>
      <w:szCs w:val="24"/>
    </w:rPr>
  </w:style>
  <w:style w:type="character" w:customStyle="1" w:styleId="88">
    <w:name w:val="页脚 Char"/>
    <w:link w:val="33"/>
    <w:qFormat/>
    <w:uiPriority w:val="99"/>
    <w:rPr>
      <w:kern w:val="2"/>
      <w:sz w:val="18"/>
      <w:szCs w:val="18"/>
    </w:rPr>
  </w:style>
  <w:style w:type="character" w:customStyle="1" w:styleId="89">
    <w:name w:val="link1"/>
    <w:qFormat/>
    <w:uiPriority w:val="0"/>
    <w:rPr>
      <w:sz w:val="18"/>
      <w:szCs w:val="18"/>
    </w:rPr>
  </w:style>
  <w:style w:type="character" w:customStyle="1" w:styleId="90">
    <w:name w:val="unnamed1"/>
    <w:basedOn w:val="51"/>
    <w:qFormat/>
    <w:uiPriority w:val="0"/>
  </w:style>
  <w:style w:type="character" w:customStyle="1" w:styleId="91">
    <w:name w:val="l1"/>
    <w:basedOn w:val="51"/>
    <w:qFormat/>
    <w:uiPriority w:val="0"/>
  </w:style>
  <w:style w:type="character" w:customStyle="1" w:styleId="92">
    <w:name w:val="docpro"/>
    <w:basedOn w:val="51"/>
    <w:qFormat/>
    <w:uiPriority w:val="0"/>
  </w:style>
  <w:style w:type="character" w:customStyle="1" w:styleId="93">
    <w:name w:val="luoyong"/>
    <w:qFormat/>
    <w:uiPriority w:val="0"/>
    <w:rPr>
      <w:rFonts w:ascii="Arial" w:hAnsi="Arial" w:eastAsia="宋体" w:cs="Arial"/>
      <w:color w:val="000080"/>
      <w:sz w:val="18"/>
      <w:szCs w:val="20"/>
    </w:rPr>
  </w:style>
  <w:style w:type="character" w:customStyle="1" w:styleId="94">
    <w:name w:val="正文文本缩进 2 Char"/>
    <w:link w:val="30"/>
    <w:qFormat/>
    <w:uiPriority w:val="0"/>
    <w:rPr>
      <w:sz w:val="28"/>
      <w:szCs w:val="24"/>
    </w:rPr>
  </w:style>
  <w:style w:type="character" w:customStyle="1" w:styleId="95">
    <w:name w:val="日期 Char"/>
    <w:link w:val="29"/>
    <w:qFormat/>
    <w:uiPriority w:val="0"/>
    <w:rPr>
      <w:kern w:val="2"/>
      <w:sz w:val="21"/>
      <w:szCs w:val="24"/>
    </w:rPr>
  </w:style>
  <w:style w:type="character" w:customStyle="1" w:styleId="96">
    <w:name w:val="ss16"/>
    <w:qFormat/>
    <w:uiPriority w:val="0"/>
    <w:rPr>
      <w:rFonts w:hint="eastAsia" w:ascii="宋体" w:hAnsi="宋体" w:eastAsia="宋体"/>
      <w:color w:val="000000"/>
      <w:sz w:val="9"/>
      <w:szCs w:val="9"/>
    </w:rPr>
  </w:style>
  <w:style w:type="character" w:customStyle="1" w:styleId="97">
    <w:name w:val="ht1"/>
    <w:qFormat/>
    <w:uiPriority w:val="0"/>
    <w:rPr>
      <w:rFonts w:ascii="黑体" w:eastAsia="黑体"/>
      <w:b/>
      <w:bCs/>
    </w:rPr>
  </w:style>
  <w:style w:type="character" w:customStyle="1" w:styleId="98">
    <w:name w:val="批注框文本 Char"/>
    <w:link w:val="32"/>
    <w:qFormat/>
    <w:uiPriority w:val="0"/>
    <w:rPr>
      <w:kern w:val="2"/>
      <w:sz w:val="18"/>
      <w:szCs w:val="18"/>
    </w:rPr>
  </w:style>
  <w:style w:type="character" w:customStyle="1" w:styleId="99">
    <w:name w:val="style121"/>
    <w:qFormat/>
    <w:uiPriority w:val="0"/>
    <w:rPr>
      <w:rFonts w:hint="eastAsia" w:ascii="宋体" w:hAnsi="宋体" w:eastAsia="宋体"/>
      <w:sz w:val="18"/>
      <w:szCs w:val="18"/>
    </w:rPr>
  </w:style>
  <w:style w:type="character" w:customStyle="1" w:styleId="100">
    <w:name w:val="正文文本缩进 Char"/>
    <w:link w:val="22"/>
    <w:qFormat/>
    <w:uiPriority w:val="0"/>
    <w:rPr>
      <w:kern w:val="2"/>
      <w:sz w:val="21"/>
      <w:szCs w:val="24"/>
    </w:rPr>
  </w:style>
  <w:style w:type="character" w:customStyle="1" w:styleId="101">
    <w:name w:val="color_red1"/>
    <w:qFormat/>
    <w:uiPriority w:val="0"/>
    <w:rPr>
      <w:color w:val="FA0004"/>
    </w:rPr>
  </w:style>
  <w:style w:type="character" w:customStyle="1" w:styleId="102">
    <w:name w:val="ca-141"/>
    <w:qFormat/>
    <w:uiPriority w:val="0"/>
    <w:rPr>
      <w:rFonts w:hint="eastAsia" w:ascii="仿宋_GB2312" w:eastAsia="仿宋_GB2312"/>
      <w:sz w:val="21"/>
      <w:szCs w:val="21"/>
    </w:rPr>
  </w:style>
  <w:style w:type="character" w:customStyle="1" w:styleId="103">
    <w:name w:val="Char Char11"/>
    <w:qFormat/>
    <w:uiPriority w:val="0"/>
    <w:rPr>
      <w:rFonts w:eastAsia="黑体"/>
      <w:kern w:val="2"/>
      <w:sz w:val="44"/>
      <w:szCs w:val="44"/>
      <w:lang w:val="en-US" w:eastAsia="zh-CN" w:bidi="ar-SA"/>
    </w:rPr>
  </w:style>
  <w:style w:type="character" w:customStyle="1" w:styleId="104">
    <w:name w:val="纯文本 Char"/>
    <w:link w:val="27"/>
    <w:qFormat/>
    <w:uiPriority w:val="0"/>
    <w:rPr>
      <w:rFonts w:ascii="宋体" w:hAnsi="Courier New" w:cs="Courier New"/>
      <w:kern w:val="2"/>
      <w:sz w:val="21"/>
      <w:szCs w:val="21"/>
    </w:rPr>
  </w:style>
  <w:style w:type="character" w:customStyle="1" w:styleId="105">
    <w:name w:val="页眉 Char"/>
    <w:link w:val="34"/>
    <w:qFormat/>
    <w:uiPriority w:val="0"/>
    <w:rPr>
      <w:kern w:val="2"/>
      <w:sz w:val="18"/>
      <w:szCs w:val="18"/>
    </w:rPr>
  </w:style>
  <w:style w:type="character" w:customStyle="1" w:styleId="106">
    <w:name w:val="style31"/>
    <w:qFormat/>
    <w:uiPriority w:val="0"/>
    <w:rPr>
      <w:sz w:val="10"/>
      <w:szCs w:val="10"/>
    </w:rPr>
  </w:style>
  <w:style w:type="character" w:customStyle="1" w:styleId="107">
    <w:name w:val="style161"/>
    <w:qFormat/>
    <w:uiPriority w:val="0"/>
    <w:rPr>
      <w:b/>
      <w:bCs/>
      <w:color w:val="333333"/>
    </w:rPr>
  </w:style>
  <w:style w:type="character" w:customStyle="1" w:styleId="108">
    <w:name w:val="normaltext1"/>
    <w:qFormat/>
    <w:uiPriority w:val="0"/>
    <w:rPr>
      <w:rFonts w:hint="default" w:ascii="ˎ̥" w:hAnsi="ˎ̥"/>
      <w:sz w:val="9"/>
      <w:szCs w:val="9"/>
    </w:rPr>
  </w:style>
  <w:style w:type="character" w:customStyle="1" w:styleId="109">
    <w:name w:val="标题 Char"/>
    <w:link w:val="50"/>
    <w:qFormat/>
    <w:uiPriority w:val="0"/>
    <w:rPr>
      <w:szCs w:val="24"/>
      <w:u w:val="single"/>
      <w:lang w:eastAsia="en-US"/>
    </w:rPr>
  </w:style>
  <w:style w:type="character" w:customStyle="1" w:styleId="110">
    <w:name w:val="批注主题 Char"/>
    <w:qFormat/>
    <w:uiPriority w:val="0"/>
    <w:rPr>
      <w:rFonts w:ascii="宋体" w:hAnsi="宋体"/>
      <w:kern w:val="2"/>
      <w:sz w:val="24"/>
      <w:szCs w:val="28"/>
    </w:rPr>
  </w:style>
  <w:style w:type="character" w:customStyle="1" w:styleId="111">
    <w:name w:val="尾注文本 Char"/>
    <w:link w:val="31"/>
    <w:qFormat/>
    <w:uiPriority w:val="0"/>
    <w:rPr>
      <w:rFonts w:ascii="Arial" w:hAnsi="Arial" w:cs="Arial"/>
      <w:szCs w:val="24"/>
      <w:lang w:eastAsia="en-US"/>
    </w:rPr>
  </w:style>
  <w:style w:type="character" w:customStyle="1" w:styleId="112">
    <w:name w:val="font161"/>
    <w:qFormat/>
    <w:uiPriority w:val="0"/>
    <w:rPr>
      <w:b/>
      <w:bCs/>
      <w:sz w:val="32"/>
      <w:szCs w:val="32"/>
    </w:rPr>
  </w:style>
  <w:style w:type="paragraph" w:customStyle="1" w:styleId="113">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4">
    <w:name w:val="xl12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5">
    <w:name w:val="赵国俊表栏"/>
    <w:basedOn w:val="1"/>
    <w:next w:val="1"/>
    <w:qFormat/>
    <w:uiPriority w:val="0"/>
    <w:pPr>
      <w:jc w:val="center"/>
    </w:pPr>
    <w:rPr>
      <w:rFonts w:ascii="黑体" w:eastAsia="黑体"/>
      <w:b/>
      <w:sz w:val="28"/>
      <w:szCs w:val="20"/>
    </w:rPr>
  </w:style>
  <w:style w:type="paragraph" w:customStyle="1" w:styleId="116">
    <w:name w:val="1"/>
    <w:basedOn w:val="1"/>
    <w:qFormat/>
    <w:uiPriority w:val="0"/>
    <w:pPr>
      <w:widowControl/>
      <w:spacing w:before="100" w:beforeAutospacing="1" w:after="100" w:afterAutospacing="1"/>
      <w:jc w:val="left"/>
    </w:pPr>
    <w:rPr>
      <w:rFonts w:ascii="ˎ̥" w:hAnsi="ˎ̥" w:cs="宋体"/>
      <w:kern w:val="0"/>
      <w:sz w:val="24"/>
    </w:rPr>
  </w:style>
  <w:style w:type="paragraph" w:customStyle="1" w:styleId="117">
    <w:name w:val="style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8">
    <w:name w:val="xl1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9">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20">
    <w:name w:val="自定样式1"/>
    <w:basedOn w:val="1"/>
    <w:qFormat/>
    <w:uiPriority w:val="0"/>
    <w:pPr>
      <w:suppressAutoHyphens/>
      <w:jc w:val="center"/>
    </w:pPr>
    <w:rPr>
      <w:rFonts w:ascii="宋体" w:hAnsi="宋体"/>
      <w:color w:val="000000"/>
      <w:sz w:val="18"/>
    </w:rPr>
  </w:style>
  <w:style w:type="paragraph" w:customStyle="1" w:styleId="121">
    <w:name w:val="xl13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22">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23">
    <w:name w:val="表格标题"/>
    <w:basedOn w:val="124"/>
    <w:qFormat/>
    <w:uiPriority w:val="0"/>
  </w:style>
  <w:style w:type="paragraph" w:customStyle="1" w:styleId="124">
    <w:name w:val="表格内容"/>
    <w:basedOn w:val="1"/>
    <w:qFormat/>
    <w:uiPriority w:val="0"/>
    <w:pPr>
      <w:suppressLineNumbers/>
      <w:suppressAutoHyphens/>
    </w:pPr>
  </w:style>
  <w:style w:type="paragraph" w:customStyle="1" w:styleId="125">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12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27">
    <w:name w:val="Char Char"/>
    <w:next w:val="1"/>
    <w:qFormat/>
    <w:uiPriority w:val="0"/>
    <w:pPr>
      <w:keepNext/>
      <w:keepLines/>
      <w:spacing w:before="240" w:after="240"/>
      <w:ind w:left="624" w:hanging="624"/>
      <w:outlineLvl w:val="7"/>
    </w:pPr>
    <w:rPr>
      <w:rFonts w:ascii="Arial" w:hAnsi="Arial" w:eastAsia="黑体" w:cs="Arial"/>
      <w:snapToGrid w:val="0"/>
      <w:sz w:val="21"/>
      <w:szCs w:val="21"/>
      <w:lang w:val="en-US" w:eastAsia="zh-CN" w:bidi="ar-SA"/>
    </w:rPr>
  </w:style>
  <w:style w:type="paragraph" w:customStyle="1" w:styleId="128">
    <w:name w:val="Char Char12"/>
    <w:next w:val="1"/>
    <w:qFormat/>
    <w:uiPriority w:val="0"/>
    <w:pPr>
      <w:keepNext/>
      <w:keepLines/>
      <w:snapToGrid w:val="0"/>
      <w:spacing w:before="240" w:after="240"/>
      <w:ind w:left="624" w:hanging="624"/>
      <w:outlineLvl w:val="7"/>
    </w:pPr>
    <w:rPr>
      <w:rFonts w:ascii="Arial" w:hAnsi="Arial" w:eastAsia="黑体" w:cs="Arial"/>
      <w:sz w:val="21"/>
      <w:szCs w:val="21"/>
      <w:lang w:val="en-US" w:eastAsia="zh-CN" w:bidi="ar-SA"/>
    </w:rPr>
  </w:style>
  <w:style w:type="paragraph" w:customStyle="1" w:styleId="129">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pPr>
    <w:rPr>
      <w:rFonts w:ascii="宋体" w:hAnsi="宋体" w:cs="宋体"/>
      <w:kern w:val="0"/>
      <w:sz w:val="18"/>
      <w:szCs w:val="18"/>
    </w:rPr>
  </w:style>
  <w:style w:type="paragraph" w:customStyle="1" w:styleId="130">
    <w:name w:val="xl12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18"/>
      <w:szCs w:val="18"/>
    </w:rPr>
  </w:style>
  <w:style w:type="paragraph" w:customStyle="1" w:styleId="131">
    <w:name w:val="font14"/>
    <w:basedOn w:val="1"/>
    <w:qFormat/>
    <w:uiPriority w:val="0"/>
    <w:pPr>
      <w:widowControl/>
      <w:spacing w:before="100" w:beforeAutospacing="1" w:after="100" w:afterAutospacing="1"/>
      <w:jc w:val="left"/>
    </w:pPr>
    <w:rPr>
      <w:rFonts w:hint="eastAsia" w:ascii="宋体" w:hAnsi="宋体"/>
      <w:color w:val="FF0000"/>
      <w:kern w:val="0"/>
      <w:sz w:val="20"/>
      <w:szCs w:val="20"/>
    </w:rPr>
  </w:style>
  <w:style w:type="paragraph" w:customStyle="1" w:styleId="132">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33">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134">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5">
    <w:name w:val="xl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136">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137">
    <w:name w:val="ly"/>
    <w:basedOn w:val="1"/>
    <w:qFormat/>
    <w:uiPriority w:val="0"/>
    <w:pPr>
      <w:widowControl/>
      <w:spacing w:before="30"/>
      <w:jc w:val="right"/>
    </w:pPr>
    <w:rPr>
      <w:rFonts w:ascii="方正书宋简体" w:hAnsi="宋体" w:eastAsia="方正书宋简体"/>
      <w:color w:val="000000"/>
      <w:kern w:val="0"/>
      <w:szCs w:val="21"/>
    </w:rPr>
  </w:style>
  <w:style w:type="paragraph" w:customStyle="1" w:styleId="138">
    <w:name w:val="xl107"/>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3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40">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141">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142">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4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44">
    <w:name w:val="xl101"/>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4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46">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4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48">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kern w:val="0"/>
      <w:sz w:val="20"/>
      <w:szCs w:val="20"/>
    </w:rPr>
  </w:style>
  <w:style w:type="paragraph" w:customStyle="1" w:styleId="149">
    <w:name w:val="xl121"/>
    <w:basedOn w:val="1"/>
    <w:qFormat/>
    <w:uiPriority w:val="0"/>
    <w:pPr>
      <w:widowControl/>
      <w:spacing w:before="100" w:beforeAutospacing="1" w:after="100" w:afterAutospacing="1"/>
      <w:jc w:val="center"/>
    </w:pPr>
    <w:rPr>
      <w:rFonts w:ascii="宋体" w:hAnsi="宋体" w:cs="宋体"/>
      <w:b/>
      <w:bCs/>
      <w:kern w:val="0"/>
      <w:sz w:val="32"/>
      <w:szCs w:val="32"/>
    </w:rPr>
  </w:style>
  <w:style w:type="paragraph" w:customStyle="1" w:styleId="150">
    <w:name w:val="xl50"/>
    <w:basedOn w:val="1"/>
    <w:qFormat/>
    <w:uiPriority w:val="0"/>
    <w:pPr>
      <w:widowControl/>
      <w:pBdr>
        <w:top w:val="single" w:color="auto" w:sz="4" w:space="0"/>
      </w:pBdr>
      <w:spacing w:before="100" w:beforeAutospacing="1" w:after="100" w:afterAutospacing="1"/>
      <w:jc w:val="left"/>
    </w:pPr>
    <w:rPr>
      <w:rFonts w:hint="eastAsia" w:ascii="仿宋_GB2312" w:hAnsi="宋体" w:eastAsia="仿宋_GB2312"/>
      <w:kern w:val="0"/>
      <w:sz w:val="20"/>
      <w:szCs w:val="20"/>
    </w:rPr>
  </w:style>
  <w:style w:type="paragraph" w:customStyle="1" w:styleId="15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52">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54">
    <w:name w:val="blockquote"/>
    <w:basedOn w:val="1"/>
    <w:qFormat/>
    <w:uiPriority w:val="0"/>
    <w:pPr>
      <w:widowControl/>
      <w:autoSpaceDE w:val="0"/>
      <w:autoSpaceDN w:val="0"/>
      <w:spacing w:before="100" w:after="100"/>
      <w:ind w:left="360" w:right="360"/>
      <w:jc w:val="left"/>
    </w:pPr>
    <w:rPr>
      <w:kern w:val="0"/>
      <w:sz w:val="24"/>
    </w:rPr>
  </w:style>
  <w:style w:type="paragraph" w:customStyle="1" w:styleId="155">
    <w:name w:val="font9"/>
    <w:basedOn w:val="1"/>
    <w:qFormat/>
    <w:uiPriority w:val="0"/>
    <w:pPr>
      <w:widowControl/>
      <w:spacing w:before="100" w:beforeAutospacing="1" w:after="100" w:afterAutospacing="1"/>
      <w:jc w:val="left"/>
    </w:pPr>
    <w:rPr>
      <w:kern w:val="0"/>
      <w:sz w:val="20"/>
      <w:szCs w:val="20"/>
    </w:rPr>
  </w:style>
  <w:style w:type="paragraph" w:customStyle="1" w:styleId="156">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7">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58">
    <w:name w:val="xl49"/>
    <w:basedOn w:val="1"/>
    <w:qFormat/>
    <w:uiPriority w:val="0"/>
    <w:pPr>
      <w:widowControl/>
      <w:pBdr>
        <w:top w:val="single" w:color="auto" w:sz="4" w:space="0"/>
        <w:left w:val="single" w:color="auto" w:sz="4" w:space="0"/>
      </w:pBdr>
      <w:spacing w:before="100" w:beforeAutospacing="1" w:after="100" w:afterAutospacing="1"/>
      <w:jc w:val="left"/>
      <w:textAlignment w:val="top"/>
    </w:pPr>
    <w:rPr>
      <w:rFonts w:hint="eastAsia" w:ascii="仿宋_GB2312" w:hAnsi="宋体" w:eastAsia="仿宋_GB2312"/>
      <w:b/>
      <w:bCs/>
      <w:kern w:val="0"/>
      <w:sz w:val="20"/>
      <w:szCs w:val="20"/>
    </w:rPr>
  </w:style>
  <w:style w:type="paragraph" w:customStyle="1" w:styleId="159">
    <w:name w:val="xl10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60">
    <w:name w:val="xl44"/>
    <w:basedOn w:val="1"/>
    <w:qFormat/>
    <w:uiPriority w:val="0"/>
    <w:pPr>
      <w:widowControl/>
      <w:pBdr>
        <w:right w:val="single" w:color="auto" w:sz="4" w:space="0"/>
      </w:pBdr>
      <w:spacing w:before="100" w:beforeAutospacing="1" w:after="100" w:afterAutospacing="1"/>
      <w:jc w:val="left"/>
      <w:textAlignment w:val="center"/>
    </w:pPr>
    <w:rPr>
      <w:rFonts w:hint="eastAsia" w:ascii="仿宋_GB2312" w:hAnsi="宋体" w:eastAsia="仿宋_GB2312"/>
      <w:kern w:val="0"/>
      <w:sz w:val="20"/>
      <w:szCs w:val="20"/>
    </w:rPr>
  </w:style>
  <w:style w:type="paragraph" w:customStyle="1" w:styleId="161">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62">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63">
    <w:name w:val="font8"/>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164">
    <w:name w:val="xl13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5">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66">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67">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69">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0">
    <w:name w:val="xl110"/>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71">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72">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73">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74">
    <w:name w:val="xl14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5">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7">
    <w:name w:val="font15"/>
    <w:basedOn w:val="1"/>
    <w:qFormat/>
    <w:uiPriority w:val="0"/>
    <w:pPr>
      <w:widowControl/>
      <w:spacing w:before="100" w:beforeAutospacing="1" w:after="100" w:afterAutospacing="1"/>
      <w:jc w:val="left"/>
    </w:pPr>
    <w:rPr>
      <w:color w:val="FF0000"/>
      <w:kern w:val="0"/>
      <w:sz w:val="20"/>
      <w:szCs w:val="20"/>
    </w:rPr>
  </w:style>
  <w:style w:type="paragraph" w:customStyle="1" w:styleId="178">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9">
    <w:name w:val="xl4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color w:val="FF0000"/>
      <w:kern w:val="0"/>
      <w:sz w:val="20"/>
      <w:szCs w:val="20"/>
    </w:rPr>
  </w:style>
  <w:style w:type="paragraph" w:customStyle="1" w:styleId="18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1">
    <w:name w:val="Char Char Char Char Char Char Char Char Char Char Char Char"/>
    <w:basedOn w:val="1"/>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8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3">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184">
    <w:name w:val="xl9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85">
    <w:name w:val="xl13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6">
    <w:name w:val="font12"/>
    <w:basedOn w:val="1"/>
    <w:qFormat/>
    <w:uiPriority w:val="0"/>
    <w:pPr>
      <w:widowControl/>
      <w:spacing w:before="100" w:beforeAutospacing="1" w:after="100" w:afterAutospacing="1"/>
      <w:jc w:val="left"/>
    </w:pPr>
    <w:rPr>
      <w:kern w:val="0"/>
      <w:sz w:val="20"/>
      <w:szCs w:val="20"/>
    </w:rPr>
  </w:style>
  <w:style w:type="paragraph" w:customStyle="1" w:styleId="187">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8">
    <w:name w:val="xl12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90">
    <w:name w:val="xl2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191">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92">
    <w:name w:val="xl108"/>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193">
    <w:name w:val="样式5"/>
    <w:basedOn w:val="1"/>
    <w:qFormat/>
    <w:uiPriority w:val="0"/>
    <w:rPr>
      <w:rFonts w:ascii="宋体"/>
      <w:sz w:val="24"/>
      <w:szCs w:val="20"/>
    </w:rPr>
  </w:style>
  <w:style w:type="paragraph" w:customStyle="1" w:styleId="19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8"/>
      <w:szCs w:val="18"/>
    </w:rPr>
  </w:style>
  <w:style w:type="paragraph" w:customStyle="1" w:styleId="195">
    <w:name w:val="pa-27"/>
    <w:basedOn w:val="1"/>
    <w:qFormat/>
    <w:uiPriority w:val="0"/>
    <w:pPr>
      <w:widowControl/>
      <w:spacing w:line="360" w:lineRule="atLeast"/>
      <w:ind w:firstLine="420"/>
    </w:pPr>
    <w:rPr>
      <w:rFonts w:ascii="宋体" w:hAnsi="宋体" w:cs="宋体"/>
      <w:kern w:val="0"/>
      <w:sz w:val="24"/>
    </w:rPr>
  </w:style>
  <w:style w:type="paragraph" w:customStyle="1" w:styleId="196">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97">
    <w:name w:val="font10"/>
    <w:basedOn w:val="1"/>
    <w:qFormat/>
    <w:uiPriority w:val="0"/>
    <w:pPr>
      <w:widowControl/>
      <w:spacing w:before="100" w:beforeAutospacing="1" w:after="100" w:afterAutospacing="1"/>
      <w:jc w:val="left"/>
    </w:pPr>
    <w:rPr>
      <w:rFonts w:hint="eastAsia" w:ascii="仿宋_GB2312" w:hAnsi="宋体" w:eastAsia="仿宋_GB2312"/>
      <w:b/>
      <w:bCs/>
      <w:kern w:val="0"/>
      <w:sz w:val="20"/>
      <w:szCs w:val="20"/>
    </w:rPr>
  </w:style>
  <w:style w:type="paragraph" w:customStyle="1" w:styleId="19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99">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00">
    <w:name w:val="xl13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01">
    <w:name w:val="zjl正文"/>
    <w:basedOn w:val="1"/>
    <w:qFormat/>
    <w:uiPriority w:val="0"/>
    <w:pPr>
      <w:spacing w:line="360" w:lineRule="auto"/>
      <w:ind w:right="210"/>
    </w:pPr>
    <w:rPr>
      <w:rFonts w:ascii="宋体" w:hAnsi="宋体"/>
      <w:b/>
      <w:szCs w:val="21"/>
    </w:rPr>
  </w:style>
  <w:style w:type="paragraph" w:customStyle="1" w:styleId="202">
    <w:name w:val="xl5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03">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2"/>
      <w:szCs w:val="22"/>
    </w:rPr>
  </w:style>
  <w:style w:type="paragraph" w:customStyle="1" w:styleId="204">
    <w:name w:val="rr"/>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205">
    <w:name w:val="font11"/>
    <w:basedOn w:val="1"/>
    <w:qFormat/>
    <w:uiPriority w:val="0"/>
    <w:pPr>
      <w:widowControl/>
      <w:spacing w:before="100" w:beforeAutospacing="1" w:after="100" w:afterAutospacing="1"/>
      <w:jc w:val="left"/>
    </w:pPr>
    <w:rPr>
      <w:b/>
      <w:bCs/>
      <w:kern w:val="0"/>
      <w:sz w:val="20"/>
      <w:szCs w:val="20"/>
    </w:rPr>
  </w:style>
  <w:style w:type="paragraph" w:customStyle="1" w:styleId="206">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07">
    <w:name w:val="修订1"/>
    <w:qFormat/>
    <w:uiPriority w:val="0"/>
    <w:rPr>
      <w:rFonts w:ascii="Times New Roman" w:hAnsi="Times New Roman" w:eastAsia="宋体" w:cs="Times New Roman"/>
      <w:kern w:val="2"/>
      <w:sz w:val="21"/>
      <w:szCs w:val="24"/>
      <w:lang w:val="en-US" w:eastAsia="zh-CN" w:bidi="ar-SA"/>
    </w:rPr>
  </w:style>
  <w:style w:type="paragraph" w:customStyle="1" w:styleId="20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09">
    <w:name w:val="表格文字"/>
    <w:basedOn w:val="1"/>
    <w:qFormat/>
    <w:uiPriority w:val="0"/>
    <w:pPr>
      <w:adjustRightInd w:val="0"/>
      <w:spacing w:line="420" w:lineRule="atLeast"/>
      <w:jc w:val="left"/>
      <w:textAlignment w:val="baseline"/>
    </w:pPr>
    <w:rPr>
      <w:kern w:val="0"/>
      <w:szCs w:val="20"/>
    </w:rPr>
  </w:style>
  <w:style w:type="paragraph" w:customStyle="1" w:styleId="210">
    <w:name w:val="a"/>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211">
    <w:name w:val="WW-表格内容"/>
    <w:basedOn w:val="1"/>
    <w:qFormat/>
    <w:uiPriority w:val="0"/>
    <w:pPr>
      <w:suppressLineNumbers/>
      <w:suppressAutoHyphens/>
    </w:pPr>
  </w:style>
  <w:style w:type="paragraph" w:customStyle="1" w:styleId="212">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13">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kern w:val="0"/>
      <w:sz w:val="20"/>
      <w:szCs w:val="20"/>
    </w:rPr>
  </w:style>
  <w:style w:type="paragraph" w:customStyle="1" w:styleId="214">
    <w:name w:val="Char"/>
    <w:basedOn w:val="1"/>
    <w:qFormat/>
    <w:uiPriority w:val="0"/>
    <w:pPr>
      <w:tabs>
        <w:tab w:val="left" w:pos="360"/>
      </w:tabs>
    </w:pPr>
    <w:rPr>
      <w:sz w:val="24"/>
    </w:rPr>
  </w:style>
  <w:style w:type="paragraph" w:customStyle="1" w:styleId="215">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16">
    <w:name w:val="xl13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7">
    <w:name w:val="xl14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8">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219">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color w:val="FF0000"/>
      <w:kern w:val="0"/>
      <w:sz w:val="18"/>
      <w:szCs w:val="18"/>
    </w:rPr>
  </w:style>
  <w:style w:type="paragraph" w:customStyle="1" w:styleId="220">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221">
    <w:name w:val="xl11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22">
    <w:name w:val="xl63"/>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23">
    <w:name w:val="Char1"/>
    <w:basedOn w:val="1"/>
    <w:qFormat/>
    <w:uiPriority w:val="0"/>
    <w:pPr>
      <w:tabs>
        <w:tab w:val="left" w:pos="360"/>
      </w:tabs>
    </w:pPr>
    <w:rPr>
      <w:sz w:val="24"/>
    </w:rPr>
  </w:style>
  <w:style w:type="paragraph" w:customStyle="1" w:styleId="224">
    <w:name w:val="xl51"/>
    <w:basedOn w:val="1"/>
    <w:qFormat/>
    <w:uiPriority w:val="0"/>
    <w:pPr>
      <w:widowControl/>
      <w:pBdr>
        <w:top w:val="single" w:color="auto" w:sz="4" w:space="0"/>
        <w:right w:val="single" w:color="auto" w:sz="4" w:space="0"/>
      </w:pBdr>
      <w:spacing w:before="100" w:beforeAutospacing="1" w:after="100" w:afterAutospacing="1"/>
      <w:jc w:val="left"/>
    </w:pPr>
    <w:rPr>
      <w:rFonts w:hint="eastAsia" w:ascii="仿宋_GB2312" w:hAnsi="宋体" w:eastAsia="仿宋_GB2312"/>
      <w:kern w:val="0"/>
      <w:sz w:val="20"/>
      <w:szCs w:val="20"/>
    </w:rPr>
  </w:style>
  <w:style w:type="paragraph" w:customStyle="1" w:styleId="225">
    <w:name w:val="xl30"/>
    <w:basedOn w:val="1"/>
    <w:qFormat/>
    <w:uiPriority w:val="0"/>
    <w:pPr>
      <w:widowControl/>
      <w:spacing w:before="100" w:beforeAutospacing="1" w:after="100" w:afterAutospacing="1"/>
      <w:jc w:val="left"/>
      <w:textAlignment w:val="center"/>
    </w:pPr>
    <w:rPr>
      <w:rFonts w:ascii="宋体" w:hAnsi="宋体"/>
      <w:kern w:val="0"/>
      <w:sz w:val="20"/>
      <w:szCs w:val="20"/>
    </w:rPr>
  </w:style>
  <w:style w:type="paragraph" w:customStyle="1" w:styleId="226">
    <w:name w:val="正文1"/>
    <w:basedOn w:val="1"/>
    <w:qFormat/>
    <w:uiPriority w:val="0"/>
    <w:pPr>
      <w:adjustRightInd w:val="0"/>
      <w:spacing w:line="240" w:lineRule="atLeast"/>
      <w:jc w:val="center"/>
      <w:textAlignment w:val="baseline"/>
    </w:pPr>
    <w:rPr>
      <w:rFonts w:eastAsia="仿宋_GB2312"/>
      <w:kern w:val="0"/>
      <w:sz w:val="24"/>
      <w:szCs w:val="20"/>
    </w:rPr>
  </w:style>
  <w:style w:type="paragraph" w:customStyle="1" w:styleId="227">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9">
    <w:name w:val="font13"/>
    <w:basedOn w:val="1"/>
    <w:qFormat/>
    <w:uiPriority w:val="0"/>
    <w:pPr>
      <w:widowControl/>
      <w:spacing w:before="100" w:beforeAutospacing="1" w:after="100" w:afterAutospacing="1"/>
      <w:jc w:val="left"/>
    </w:pPr>
    <w:rPr>
      <w:b/>
      <w:bCs/>
      <w:kern w:val="0"/>
      <w:sz w:val="32"/>
      <w:szCs w:val="32"/>
    </w:rPr>
  </w:style>
  <w:style w:type="paragraph" w:customStyle="1" w:styleId="230">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31">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232">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233">
    <w:name w:val="WW-表格标题"/>
    <w:basedOn w:val="211"/>
    <w:qFormat/>
    <w:uiPriority w:val="0"/>
  </w:style>
  <w:style w:type="paragraph" w:customStyle="1" w:styleId="23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235">
    <w:name w:val="font6"/>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236">
    <w:name w:val="xl1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3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8">
    <w:name w:val="xl22"/>
    <w:basedOn w:val="1"/>
    <w:qFormat/>
    <w:uiPriority w:val="0"/>
    <w:pPr>
      <w:widowControl/>
      <w:spacing w:before="100" w:beforeAutospacing="1" w:after="100" w:afterAutospacing="1"/>
      <w:jc w:val="center"/>
    </w:pPr>
    <w:rPr>
      <w:rFonts w:ascii="宋体" w:hAnsi="宋体"/>
      <w:kern w:val="0"/>
      <w:sz w:val="24"/>
    </w:rPr>
  </w:style>
  <w:style w:type="paragraph" w:customStyle="1" w:styleId="239">
    <w:name w:val="intel1"/>
    <w:basedOn w:val="1"/>
    <w:qFormat/>
    <w:uiPriority w:val="0"/>
    <w:pPr>
      <w:widowControl/>
      <w:spacing w:before="100" w:beforeAutospacing="1" w:after="100" w:afterAutospacing="1"/>
      <w:jc w:val="left"/>
    </w:pPr>
    <w:rPr>
      <w:rFonts w:ascii="宋体" w:hAnsi="宋体" w:cs="宋体"/>
      <w:kern w:val="0"/>
      <w:sz w:val="24"/>
    </w:rPr>
  </w:style>
  <w:style w:type="paragraph" w:customStyle="1" w:styleId="240">
    <w:name w:val="font7"/>
    <w:basedOn w:val="1"/>
    <w:qFormat/>
    <w:uiPriority w:val="0"/>
    <w:pPr>
      <w:widowControl/>
      <w:spacing w:before="100" w:beforeAutospacing="1" w:after="100" w:afterAutospacing="1"/>
      <w:jc w:val="left"/>
    </w:pPr>
    <w:rPr>
      <w:kern w:val="0"/>
      <w:sz w:val="22"/>
      <w:szCs w:val="22"/>
    </w:rPr>
  </w:style>
  <w:style w:type="paragraph" w:customStyle="1" w:styleId="241">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2">
    <w:name w:val="列出段落1"/>
    <w:basedOn w:val="1"/>
    <w:qFormat/>
    <w:uiPriority w:val="34"/>
    <w:pPr>
      <w:ind w:firstLine="420" w:firstLineChars="200"/>
    </w:pPr>
    <w:rPr>
      <w:sz w:val="28"/>
      <w:szCs w:val="28"/>
    </w:rPr>
  </w:style>
  <w:style w:type="paragraph" w:customStyle="1" w:styleId="243">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24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5">
    <w:name w:val="xl2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246">
    <w:name w:val="样式 标题 3 + (中文) 黑体 小四 非加粗 段前: 7.8 磅 段后: 0 磅 行距: 固定值 20 磅"/>
    <w:basedOn w:val="4"/>
    <w:next w:val="1"/>
    <w:qFormat/>
    <w:uiPriority w:val="0"/>
    <w:pPr>
      <w:spacing w:before="0" w:after="0" w:line="400" w:lineRule="exact"/>
    </w:pPr>
    <w:rPr>
      <w:rFonts w:eastAsia="黑体" w:cs="宋体"/>
      <w:b w:val="0"/>
      <w:bCs w:val="0"/>
      <w:sz w:val="24"/>
      <w:szCs w:val="20"/>
    </w:rPr>
  </w:style>
  <w:style w:type="paragraph" w:customStyle="1" w:styleId="247">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48">
    <w:name w:val="xl42"/>
    <w:basedOn w:val="1"/>
    <w:qFormat/>
    <w:uiPriority w:val="0"/>
    <w:pPr>
      <w:widowControl/>
      <w:pBdr>
        <w:left w:val="single" w:color="auto" w:sz="4" w:space="0"/>
      </w:pBdr>
      <w:spacing w:before="100" w:beforeAutospacing="1" w:after="100" w:afterAutospacing="1"/>
      <w:jc w:val="left"/>
      <w:textAlignment w:val="center"/>
    </w:pPr>
    <w:rPr>
      <w:rFonts w:hint="eastAsia" w:ascii="仿宋_GB2312" w:hAnsi="宋体" w:eastAsia="仿宋_GB2312"/>
      <w:b/>
      <w:bCs/>
      <w:kern w:val="0"/>
      <w:sz w:val="20"/>
      <w:szCs w:val="20"/>
    </w:rPr>
  </w:style>
  <w:style w:type="paragraph" w:customStyle="1" w:styleId="249">
    <w:name w:val="Char21"/>
    <w:basedOn w:val="1"/>
    <w:qFormat/>
    <w:uiPriority w:val="0"/>
    <w:pPr>
      <w:tabs>
        <w:tab w:val="left" w:pos="360"/>
      </w:tabs>
    </w:pPr>
    <w:rPr>
      <w:sz w:val="24"/>
    </w:rPr>
  </w:style>
  <w:style w:type="paragraph" w:customStyle="1" w:styleId="250">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51">
    <w:name w:val="样式2"/>
    <w:basedOn w:val="4"/>
    <w:qFormat/>
    <w:uiPriority w:val="0"/>
    <w:pPr>
      <w:ind w:firstLine="137" w:firstLineChars="49"/>
    </w:pPr>
    <w:rPr>
      <w:rFonts w:ascii="黑体" w:hAnsi="宋体" w:eastAsia="黑体"/>
      <w:b w:val="0"/>
      <w:i/>
      <w:sz w:val="28"/>
      <w:szCs w:val="28"/>
    </w:rPr>
  </w:style>
  <w:style w:type="paragraph" w:customStyle="1" w:styleId="252">
    <w:name w:val="xl100"/>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left"/>
    </w:pPr>
    <w:rPr>
      <w:rFonts w:ascii="宋体" w:hAnsi="宋体" w:cs="宋体"/>
      <w:kern w:val="0"/>
      <w:sz w:val="18"/>
      <w:szCs w:val="18"/>
    </w:rPr>
  </w:style>
  <w:style w:type="paragraph" w:customStyle="1" w:styleId="253">
    <w:name w:val="xl13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254">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55">
    <w:name w:val="xl11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56">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57">
    <w:name w:val="xl4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258">
    <w:name w:val="xl3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259">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260">
    <w:name w:val="H2"/>
    <w:basedOn w:val="1"/>
    <w:next w:val="1"/>
    <w:qFormat/>
    <w:uiPriority w:val="0"/>
    <w:pPr>
      <w:keepNext/>
      <w:autoSpaceDE w:val="0"/>
      <w:autoSpaceDN w:val="0"/>
      <w:adjustRightInd w:val="0"/>
      <w:spacing w:before="100" w:after="100"/>
      <w:jc w:val="left"/>
      <w:outlineLvl w:val="2"/>
    </w:pPr>
    <w:rPr>
      <w:b/>
      <w:kern w:val="0"/>
      <w:sz w:val="36"/>
      <w:szCs w:val="20"/>
    </w:rPr>
  </w:style>
  <w:style w:type="paragraph" w:customStyle="1" w:styleId="261">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262">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b/>
      <w:bCs/>
      <w:kern w:val="0"/>
      <w:sz w:val="20"/>
      <w:szCs w:val="20"/>
    </w:rPr>
  </w:style>
  <w:style w:type="paragraph" w:customStyle="1" w:styleId="263">
    <w:name w:val="样式1"/>
    <w:basedOn w:val="1"/>
    <w:next w:val="5"/>
    <w:qFormat/>
    <w:uiPriority w:val="0"/>
    <w:pPr>
      <w:spacing w:line="360" w:lineRule="auto"/>
      <w:ind w:firstLine="420" w:firstLineChars="200"/>
    </w:pPr>
    <w:rPr>
      <w:rFonts w:ascii="宋体" w:hAnsi="宋体"/>
      <w:szCs w:val="21"/>
    </w:rPr>
  </w:style>
  <w:style w:type="paragraph" w:customStyle="1" w:styleId="26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6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266">
    <w:name w:val="xl12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6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kern w:val="0"/>
      <w:sz w:val="20"/>
      <w:szCs w:val="20"/>
    </w:rPr>
  </w:style>
  <w:style w:type="paragraph" w:customStyle="1" w:styleId="268">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69">
    <w:name w:val="pa-34"/>
    <w:basedOn w:val="1"/>
    <w:qFormat/>
    <w:uiPriority w:val="0"/>
    <w:pPr>
      <w:widowControl/>
      <w:spacing w:line="360" w:lineRule="atLeast"/>
      <w:ind w:firstLine="420"/>
      <w:jc w:val="left"/>
    </w:pPr>
    <w:rPr>
      <w:rFonts w:ascii="宋体" w:hAnsi="宋体" w:cs="宋体"/>
      <w:kern w:val="0"/>
      <w:sz w:val="24"/>
    </w:rPr>
  </w:style>
  <w:style w:type="paragraph" w:customStyle="1" w:styleId="270">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71">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13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73">
    <w:name w:val="表格"/>
    <w:basedOn w:val="1"/>
    <w:qFormat/>
    <w:uiPriority w:val="0"/>
    <w:pPr>
      <w:jc w:val="center"/>
      <w:textAlignment w:val="center"/>
    </w:pPr>
    <w:rPr>
      <w:rFonts w:ascii="华文细黑" w:hAnsi="华文细黑"/>
      <w:kern w:val="0"/>
      <w:szCs w:val="20"/>
    </w:rPr>
  </w:style>
  <w:style w:type="paragraph" w:customStyle="1" w:styleId="274">
    <w:name w:val="xl14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75">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76">
    <w:name w:val="xl13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77">
    <w:name w:val="xl102"/>
    <w:basedOn w:val="1"/>
    <w:qFormat/>
    <w:uiPriority w:val="0"/>
    <w:pPr>
      <w:widowControl/>
      <w:spacing w:before="100" w:beforeAutospacing="1" w:after="100" w:afterAutospacing="1"/>
      <w:jc w:val="center"/>
    </w:pPr>
    <w:rPr>
      <w:rFonts w:ascii="宋体" w:hAnsi="宋体" w:cs="宋体"/>
      <w:b/>
      <w:bCs/>
      <w:kern w:val="0"/>
      <w:sz w:val="32"/>
      <w:szCs w:val="32"/>
    </w:rPr>
  </w:style>
  <w:style w:type="paragraph" w:customStyle="1" w:styleId="278">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79">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80">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81">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282">
    <w:name w:val="xl43"/>
    <w:basedOn w:val="1"/>
    <w:qFormat/>
    <w:uiPriority w:val="0"/>
    <w:pPr>
      <w:widowControl/>
      <w:spacing w:before="100" w:beforeAutospacing="1" w:after="100" w:afterAutospacing="1"/>
      <w:jc w:val="left"/>
      <w:textAlignment w:val="center"/>
    </w:pPr>
    <w:rPr>
      <w:rFonts w:hint="eastAsia" w:ascii="仿宋_GB2312" w:hAnsi="宋体" w:eastAsia="仿宋_GB2312"/>
      <w:kern w:val="0"/>
      <w:sz w:val="20"/>
      <w:szCs w:val="20"/>
    </w:rPr>
  </w:style>
  <w:style w:type="paragraph" w:customStyle="1" w:styleId="283">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4">
    <w:name w:val="xl1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5">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286">
    <w:name w:val="xl12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8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8">
    <w:name w:val=".."/>
    <w:basedOn w:val="134"/>
    <w:next w:val="134"/>
    <w:qFormat/>
    <w:uiPriority w:val="0"/>
    <w:rPr>
      <w:color w:val="auto"/>
    </w:rPr>
  </w:style>
  <w:style w:type="paragraph" w:customStyle="1" w:styleId="28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9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91">
    <w:name w:val="xl1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92">
    <w:name w:val="xl106"/>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right"/>
    </w:pPr>
    <w:rPr>
      <w:rFonts w:ascii="宋体" w:hAnsi="宋体" w:cs="宋体"/>
      <w:kern w:val="0"/>
      <w:sz w:val="18"/>
      <w:szCs w:val="18"/>
    </w:rPr>
  </w:style>
  <w:style w:type="paragraph" w:customStyle="1" w:styleId="293">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94">
    <w:name w:val="xl12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95">
    <w:name w:val="ptdl"/>
    <w:basedOn w:val="1"/>
    <w:qFormat/>
    <w:uiPriority w:val="0"/>
    <w:pPr>
      <w:spacing w:after="156"/>
      <w:ind w:firstLine="480"/>
    </w:pPr>
    <w:rPr>
      <w:sz w:val="24"/>
      <w:szCs w:val="20"/>
    </w:rPr>
  </w:style>
  <w:style w:type="paragraph" w:customStyle="1" w:styleId="296">
    <w:name w:val="Char Char Char Char Char Char Char Char Char"/>
    <w:basedOn w:val="1"/>
    <w:qFormat/>
    <w:uiPriority w:val="0"/>
  </w:style>
  <w:style w:type="paragraph" w:customStyle="1" w:styleId="297">
    <w:name w:val="默认段落字体 Para Char Char Char Char Char Char Char Char Char Char Char Char Char"/>
    <w:basedOn w:val="1"/>
    <w:qFormat/>
    <w:uiPriority w:val="0"/>
  </w:style>
  <w:style w:type="character" w:customStyle="1" w:styleId="298">
    <w:name w:val="纯文本 Char1"/>
    <w:qFormat/>
    <w:uiPriority w:val="0"/>
    <w:rPr>
      <w:rFonts w:ascii="宋体" w:hAnsi="Courier New" w:eastAsia="宋体"/>
      <w:kern w:val="2"/>
      <w:sz w:val="28"/>
      <w:szCs w:val="28"/>
      <w:lang w:val="en-US" w:eastAsia="zh-CN" w:bidi="ar-SA"/>
    </w:rPr>
  </w:style>
  <w:style w:type="character" w:customStyle="1" w:styleId="299">
    <w:name w:val="bk-editable-lemma-btns2"/>
    <w:basedOn w:val="51"/>
    <w:qFormat/>
    <w:uiPriority w:val="0"/>
  </w:style>
  <w:style w:type="paragraph" w:customStyle="1" w:styleId="300">
    <w:name w:val="Char Char1"/>
    <w:next w:val="1"/>
    <w:qFormat/>
    <w:uiPriority w:val="0"/>
    <w:pPr>
      <w:keepNext/>
      <w:keepLines/>
      <w:snapToGrid w:val="0"/>
      <w:spacing w:before="240" w:after="240"/>
      <w:ind w:left="624" w:hanging="624"/>
      <w:outlineLvl w:val="7"/>
    </w:pPr>
    <w:rPr>
      <w:rFonts w:ascii="Arial" w:hAnsi="Arial" w:eastAsia="黑体" w:cs="Arial"/>
      <w:sz w:val="21"/>
      <w:szCs w:val="21"/>
      <w:lang w:val="en-US" w:eastAsia="zh-CN" w:bidi="ar-SA"/>
    </w:rPr>
  </w:style>
  <w:style w:type="paragraph" w:customStyle="1" w:styleId="301">
    <w:name w:val="修订11"/>
    <w:qFormat/>
    <w:uiPriority w:val="0"/>
    <w:rPr>
      <w:rFonts w:ascii="Times New Roman" w:hAnsi="Times New Roman" w:eastAsia="宋体" w:cs="Times New Roman"/>
      <w:kern w:val="2"/>
      <w:sz w:val="21"/>
      <w:szCs w:val="24"/>
      <w:lang w:val="en-US" w:eastAsia="zh-CN" w:bidi="ar-SA"/>
    </w:rPr>
  </w:style>
  <w:style w:type="paragraph" w:customStyle="1" w:styleId="302">
    <w:name w:val="Char2"/>
    <w:basedOn w:val="1"/>
    <w:qFormat/>
    <w:uiPriority w:val="0"/>
    <w:pPr>
      <w:tabs>
        <w:tab w:val="left" w:pos="360"/>
      </w:tabs>
    </w:pPr>
    <w:rPr>
      <w:sz w:val="24"/>
    </w:rPr>
  </w:style>
  <w:style w:type="paragraph" w:customStyle="1" w:styleId="303">
    <w:name w:val="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304">
    <w:name w:val="标题 1 Char1"/>
    <w:basedOn w:val="51"/>
    <w:qFormat/>
    <w:uiPriority w:val="0"/>
    <w:rPr>
      <w:rFonts w:eastAsia="宋体" w:cs="Times New Roman"/>
      <w:b/>
      <w:bCs/>
      <w:kern w:val="44"/>
      <w:sz w:val="44"/>
      <w:szCs w:val="44"/>
    </w:rPr>
  </w:style>
  <w:style w:type="character" w:customStyle="1" w:styleId="305">
    <w:name w:val="标题 2 Char1"/>
    <w:basedOn w:val="51"/>
    <w:semiHidden/>
    <w:qFormat/>
    <w:uiPriority w:val="0"/>
    <w:rPr>
      <w:rFonts w:asciiTheme="majorHAnsi" w:hAnsiTheme="majorHAnsi" w:eastAsiaTheme="majorEastAsia" w:cstheme="majorBidi"/>
      <w:b/>
      <w:bCs/>
      <w:kern w:val="2"/>
      <w:sz w:val="32"/>
      <w:szCs w:val="32"/>
    </w:rPr>
  </w:style>
  <w:style w:type="character" w:customStyle="1" w:styleId="306">
    <w:name w:val="正文首行缩进 Char"/>
    <w:basedOn w:val="78"/>
    <w:link w:val="16"/>
    <w:qFormat/>
    <w:uiPriority w:val="0"/>
    <w:rPr>
      <w:kern w:val="2"/>
      <w:sz w:val="21"/>
      <w:szCs w:val="24"/>
    </w:rPr>
  </w:style>
  <w:style w:type="paragraph" w:customStyle="1" w:styleId="307">
    <w:name w:val="默认段落字体 Para Char Char Char Char Char Char Char Char Char Char"/>
    <w:basedOn w:val="1"/>
    <w:qFormat/>
    <w:uiPriority w:val="0"/>
    <w:rPr>
      <w:rFonts w:ascii="Calibri" w:hAnsi="Calibri"/>
      <w:szCs w:val="22"/>
    </w:rPr>
  </w:style>
  <w:style w:type="character" w:customStyle="1" w:styleId="308">
    <w:name w:val="脚注文本 Char1"/>
    <w:basedOn w:val="51"/>
    <w:semiHidden/>
    <w:qFormat/>
    <w:locked/>
    <w:uiPriority w:val="99"/>
    <w:rPr>
      <w:rFonts w:ascii="Arial" w:hAnsi="Arial" w:cs="Arial" w:eastAsiaTheme="minorEastAsia"/>
      <w:kern w:val="2"/>
      <w:sz w:val="18"/>
      <w:szCs w:val="18"/>
      <w:lang w:eastAsia="en-US"/>
    </w:rPr>
  </w:style>
  <w:style w:type="character" w:customStyle="1" w:styleId="309">
    <w:name w:val="副标题 Char1"/>
    <w:basedOn w:val="51"/>
    <w:qFormat/>
    <w:locked/>
    <w:uiPriority w:val="11"/>
    <w:rPr>
      <w:rFonts w:asciiTheme="minorHAnsi" w:hAnsiTheme="minorHAnsi" w:eastAsiaTheme="minorEastAsia" w:cstheme="minorBidi"/>
      <w:kern w:val="2"/>
      <w:sz w:val="21"/>
      <w:szCs w:val="24"/>
      <w:u w:val="single"/>
      <w:lang w:eastAsia="en-US"/>
    </w:rPr>
  </w:style>
  <w:style w:type="character" w:customStyle="1" w:styleId="310">
    <w:name w:val="正文文本缩进 3 Char1"/>
    <w:basedOn w:val="51"/>
    <w:semiHidden/>
    <w:qFormat/>
    <w:locked/>
    <w:uiPriority w:val="99"/>
    <w:rPr>
      <w:rFonts w:ascii="宋体" w:hAnsi="宋体" w:eastAsiaTheme="minorEastAsia" w:cstheme="minorBidi"/>
      <w:kern w:val="2"/>
      <w:sz w:val="28"/>
      <w:szCs w:val="28"/>
    </w:rPr>
  </w:style>
  <w:style w:type="character" w:customStyle="1" w:styleId="311">
    <w:name w:val="正文文本 Char1"/>
    <w:basedOn w:val="51"/>
    <w:qFormat/>
    <w:locked/>
    <w:uiPriority w:val="0"/>
    <w:rPr>
      <w:rFonts w:asciiTheme="minorHAnsi" w:hAnsiTheme="minorHAnsi" w:eastAsiaTheme="minorEastAsia" w:cstheme="minorBidi"/>
      <w:kern w:val="2"/>
      <w:sz w:val="21"/>
      <w:szCs w:val="24"/>
    </w:rPr>
  </w:style>
  <w:style w:type="character" w:customStyle="1" w:styleId="312">
    <w:name w:val="正文文本 3 Char1"/>
    <w:basedOn w:val="51"/>
    <w:semiHidden/>
    <w:qFormat/>
    <w:locked/>
    <w:uiPriority w:val="99"/>
    <w:rPr>
      <w:rFonts w:asciiTheme="minorHAnsi" w:hAnsiTheme="minorHAnsi" w:eastAsiaTheme="minorEastAsia" w:cstheme="minorBidi"/>
      <w:kern w:val="2"/>
      <w:sz w:val="16"/>
      <w:szCs w:val="16"/>
    </w:rPr>
  </w:style>
  <w:style w:type="character" w:customStyle="1" w:styleId="313">
    <w:name w:val="HTML 预设格式 Char1"/>
    <w:basedOn w:val="51"/>
    <w:semiHidden/>
    <w:qFormat/>
    <w:locked/>
    <w:uiPriority w:val="99"/>
    <w:rPr>
      <w:rFonts w:ascii="宋体" w:hAnsi="宋体" w:cs="宋体" w:eastAsiaTheme="minorEastAsia"/>
      <w:color w:val="000000"/>
      <w:kern w:val="2"/>
      <w:sz w:val="24"/>
      <w:szCs w:val="24"/>
    </w:rPr>
  </w:style>
  <w:style w:type="character" w:customStyle="1" w:styleId="314">
    <w:name w:val="文档结构图 Char1"/>
    <w:basedOn w:val="51"/>
    <w:qFormat/>
    <w:locked/>
    <w:uiPriority w:val="0"/>
    <w:rPr>
      <w:rFonts w:asciiTheme="minorHAnsi" w:hAnsiTheme="minorHAnsi" w:eastAsiaTheme="minorEastAsia" w:cstheme="minorBidi"/>
      <w:kern w:val="2"/>
      <w:sz w:val="21"/>
      <w:szCs w:val="24"/>
      <w:shd w:val="clear" w:color="auto" w:fill="000080"/>
    </w:rPr>
  </w:style>
  <w:style w:type="character" w:customStyle="1" w:styleId="315">
    <w:name w:val="正文文本 2 Char1"/>
    <w:basedOn w:val="51"/>
    <w:semiHidden/>
    <w:qFormat/>
    <w:locked/>
    <w:uiPriority w:val="99"/>
    <w:rPr>
      <w:rFonts w:asciiTheme="minorHAnsi" w:hAnsiTheme="minorHAnsi" w:eastAsiaTheme="minorEastAsia" w:cstheme="minorBidi"/>
      <w:i/>
      <w:iCs/>
      <w:kern w:val="2"/>
      <w:sz w:val="26"/>
      <w:szCs w:val="24"/>
    </w:rPr>
  </w:style>
  <w:style w:type="character" w:customStyle="1" w:styleId="316">
    <w:name w:val="正文文本缩进 2 Char1"/>
    <w:basedOn w:val="51"/>
    <w:semiHidden/>
    <w:qFormat/>
    <w:locked/>
    <w:uiPriority w:val="99"/>
    <w:rPr>
      <w:rFonts w:asciiTheme="minorHAnsi" w:hAnsiTheme="minorHAnsi" w:eastAsiaTheme="minorEastAsia" w:cstheme="minorBidi"/>
      <w:kern w:val="2"/>
      <w:sz w:val="28"/>
      <w:szCs w:val="24"/>
    </w:rPr>
  </w:style>
  <w:style w:type="character" w:customStyle="1" w:styleId="317">
    <w:name w:val="日期 Char1"/>
    <w:basedOn w:val="51"/>
    <w:qFormat/>
    <w:locked/>
    <w:uiPriority w:val="0"/>
    <w:rPr>
      <w:rFonts w:asciiTheme="minorHAnsi" w:hAnsiTheme="minorHAnsi" w:eastAsiaTheme="minorEastAsia" w:cstheme="minorBidi"/>
      <w:kern w:val="2"/>
      <w:sz w:val="21"/>
      <w:szCs w:val="24"/>
    </w:rPr>
  </w:style>
  <w:style w:type="character" w:customStyle="1" w:styleId="318">
    <w:name w:val="批注框文本 Char1"/>
    <w:basedOn w:val="51"/>
    <w:qFormat/>
    <w:locked/>
    <w:uiPriority w:val="0"/>
    <w:rPr>
      <w:rFonts w:asciiTheme="minorHAnsi" w:hAnsiTheme="minorHAnsi" w:eastAsiaTheme="minorEastAsia" w:cstheme="minorBidi"/>
      <w:kern w:val="2"/>
      <w:sz w:val="18"/>
      <w:szCs w:val="18"/>
    </w:rPr>
  </w:style>
  <w:style w:type="character" w:customStyle="1" w:styleId="319">
    <w:name w:val="正文文本缩进 Char1"/>
    <w:basedOn w:val="51"/>
    <w:semiHidden/>
    <w:qFormat/>
    <w:locked/>
    <w:uiPriority w:val="99"/>
    <w:rPr>
      <w:rFonts w:asciiTheme="minorHAnsi" w:hAnsiTheme="minorHAnsi" w:eastAsiaTheme="minorEastAsia" w:cstheme="minorBidi"/>
      <w:kern w:val="2"/>
      <w:sz w:val="21"/>
      <w:szCs w:val="24"/>
    </w:rPr>
  </w:style>
  <w:style w:type="character" w:customStyle="1" w:styleId="320">
    <w:name w:val="标题 Char1"/>
    <w:basedOn w:val="51"/>
    <w:qFormat/>
    <w:locked/>
    <w:uiPriority w:val="10"/>
    <w:rPr>
      <w:rFonts w:asciiTheme="minorHAnsi" w:hAnsiTheme="minorHAnsi" w:eastAsiaTheme="minorEastAsia" w:cstheme="minorBidi"/>
      <w:kern w:val="2"/>
      <w:sz w:val="21"/>
      <w:szCs w:val="24"/>
      <w:u w:val="single"/>
      <w:lang w:eastAsia="en-US"/>
    </w:rPr>
  </w:style>
  <w:style w:type="character" w:customStyle="1" w:styleId="321">
    <w:name w:val="尾注文本 Char1"/>
    <w:basedOn w:val="51"/>
    <w:semiHidden/>
    <w:qFormat/>
    <w:locked/>
    <w:uiPriority w:val="99"/>
    <w:rPr>
      <w:rFonts w:ascii="Arial" w:hAnsi="Arial" w:cs="Arial" w:eastAsiaTheme="minorEastAsia"/>
      <w:kern w:val="2"/>
      <w:sz w:val="21"/>
      <w:szCs w:val="24"/>
      <w:lang w:eastAsia="en-US"/>
    </w:rPr>
  </w:style>
  <w:style w:type="paragraph" w:customStyle="1" w:styleId="322">
    <w:name w:val="修订2"/>
    <w:hidden/>
    <w:qFormat/>
    <w:uiPriority w:val="0"/>
    <w:rPr>
      <w:rFonts w:ascii="Times New Roman" w:hAnsi="Times New Roman" w:eastAsia="宋体" w:cs="Times New Roman"/>
      <w:kern w:val="2"/>
      <w:sz w:val="21"/>
      <w:szCs w:val="24"/>
      <w:lang w:val="en-US" w:eastAsia="zh-CN" w:bidi="ar-SA"/>
    </w:rPr>
  </w:style>
  <w:style w:type="character" w:customStyle="1" w:styleId="323">
    <w:name w:val="引用 Char1"/>
    <w:qFormat/>
    <w:uiPriority w:val="29"/>
    <w:rPr>
      <w:i/>
      <w:iCs/>
      <w:color w:val="000000"/>
      <w:kern w:val="2"/>
      <w:sz w:val="21"/>
      <w:szCs w:val="22"/>
    </w:rPr>
  </w:style>
  <w:style w:type="character" w:customStyle="1" w:styleId="324">
    <w:name w:val="标题4 Char Char"/>
    <w:link w:val="325"/>
    <w:qFormat/>
    <w:uiPriority w:val="0"/>
    <w:rPr>
      <w:rFonts w:ascii="Arial" w:hAnsi="Arial"/>
      <w:b/>
      <w:bCs/>
      <w:sz w:val="24"/>
      <w:szCs w:val="32"/>
    </w:rPr>
  </w:style>
  <w:style w:type="paragraph" w:customStyle="1" w:styleId="325">
    <w:name w:val="标题4"/>
    <w:basedOn w:val="3"/>
    <w:next w:val="24"/>
    <w:link w:val="324"/>
    <w:qFormat/>
    <w:uiPriority w:val="0"/>
    <w:rPr>
      <w:rFonts w:ascii="Arial" w:hAnsi="Arial"/>
      <w:kern w:val="0"/>
      <w:sz w:val="24"/>
    </w:rPr>
  </w:style>
  <w:style w:type="character" w:customStyle="1" w:styleId="326">
    <w:name w:val="明显引用 Char"/>
    <w:qFormat/>
    <w:uiPriority w:val="0"/>
    <w:rPr>
      <w:b/>
      <w:bCs/>
      <w:i/>
      <w:iCs/>
      <w:color w:val="4F81BD"/>
      <w:kern w:val="2"/>
      <w:sz w:val="21"/>
      <w:szCs w:val="22"/>
    </w:rPr>
  </w:style>
  <w:style w:type="paragraph" w:customStyle="1" w:styleId="327">
    <w:name w:val="明显引用1"/>
    <w:basedOn w:val="1"/>
    <w:next w:val="1"/>
    <w:link w:val="384"/>
    <w:qFormat/>
    <w:uiPriority w:val="0"/>
    <w:pPr>
      <w:pBdr>
        <w:bottom w:val="single" w:color="4F81BD" w:sz="4" w:space="4"/>
      </w:pBdr>
      <w:spacing w:before="200" w:after="280"/>
      <w:ind w:left="936" w:right="936"/>
    </w:pPr>
    <w:rPr>
      <w:b/>
      <w:bCs/>
      <w:i/>
      <w:iCs/>
      <w:color w:val="4F81BD"/>
      <w:szCs w:val="22"/>
    </w:rPr>
  </w:style>
  <w:style w:type="paragraph" w:customStyle="1" w:styleId="328">
    <w:name w:val="明显引用11"/>
    <w:basedOn w:val="1"/>
    <w:next w:val="1"/>
    <w:link w:val="342"/>
    <w:qFormat/>
    <w:uiPriority w:val="0"/>
    <w:pPr>
      <w:pBdr>
        <w:bottom w:val="single" w:color="4F81BD" w:sz="4" w:space="4"/>
      </w:pBdr>
      <w:spacing w:before="200" w:after="280"/>
      <w:ind w:left="936" w:right="936"/>
    </w:pPr>
    <w:rPr>
      <w:b/>
      <w:bCs/>
      <w:i/>
      <w:iCs/>
      <w:color w:val="4F81BD"/>
      <w:szCs w:val="22"/>
    </w:rPr>
  </w:style>
  <w:style w:type="character" w:customStyle="1" w:styleId="329">
    <w:name w:val="不明显参考1"/>
    <w:qFormat/>
    <w:uiPriority w:val="0"/>
    <w:rPr>
      <w:smallCaps/>
      <w:color w:val="C0504D"/>
      <w:u w:val="single"/>
    </w:rPr>
  </w:style>
  <w:style w:type="character" w:customStyle="1" w:styleId="330">
    <w:name w:val="textcontents"/>
    <w:qFormat/>
    <w:uiPriority w:val="0"/>
    <w:rPr>
      <w:rFonts w:cs="Times New Roman"/>
    </w:rPr>
  </w:style>
  <w:style w:type="character" w:customStyle="1" w:styleId="331">
    <w:name w:val="明显强调1"/>
    <w:qFormat/>
    <w:uiPriority w:val="0"/>
    <w:rPr>
      <w:b/>
      <w:bCs/>
      <w:i/>
      <w:iCs/>
      <w:color w:val="4F81BD"/>
    </w:rPr>
  </w:style>
  <w:style w:type="character" w:customStyle="1" w:styleId="332">
    <w:name w:val="明显引用 Char1"/>
    <w:qFormat/>
    <w:uiPriority w:val="30"/>
    <w:rPr>
      <w:b/>
      <w:bCs/>
      <w:i/>
      <w:iCs/>
      <w:color w:val="4F81BD"/>
      <w:kern w:val="2"/>
      <w:sz w:val="21"/>
      <w:szCs w:val="22"/>
    </w:rPr>
  </w:style>
  <w:style w:type="character" w:customStyle="1" w:styleId="333">
    <w:name w:val="引用 Char"/>
    <w:qFormat/>
    <w:uiPriority w:val="0"/>
    <w:rPr>
      <w:i/>
      <w:iCs/>
      <w:color w:val="000000"/>
      <w:kern w:val="2"/>
      <w:sz w:val="21"/>
      <w:szCs w:val="22"/>
    </w:rPr>
  </w:style>
  <w:style w:type="paragraph" w:customStyle="1" w:styleId="334">
    <w:name w:val="引用1"/>
    <w:basedOn w:val="1"/>
    <w:next w:val="1"/>
    <w:link w:val="385"/>
    <w:qFormat/>
    <w:uiPriority w:val="0"/>
    <w:rPr>
      <w:i/>
      <w:iCs/>
      <w:color w:val="000000"/>
      <w:szCs w:val="22"/>
    </w:rPr>
  </w:style>
  <w:style w:type="paragraph" w:customStyle="1" w:styleId="335">
    <w:name w:val="引用11"/>
    <w:basedOn w:val="1"/>
    <w:next w:val="1"/>
    <w:link w:val="344"/>
    <w:qFormat/>
    <w:uiPriority w:val="0"/>
    <w:rPr>
      <w:i/>
      <w:iCs/>
      <w:color w:val="000000"/>
      <w:szCs w:val="22"/>
    </w:rPr>
  </w:style>
  <w:style w:type="character" w:customStyle="1" w:styleId="336">
    <w:name w:val="标题5 Char Char"/>
    <w:link w:val="337"/>
    <w:qFormat/>
    <w:uiPriority w:val="0"/>
    <w:rPr>
      <w:rFonts w:ascii="Arial" w:hAnsi="Arial"/>
      <w:b/>
      <w:bCs/>
      <w:sz w:val="24"/>
      <w:szCs w:val="32"/>
    </w:rPr>
  </w:style>
  <w:style w:type="paragraph" w:customStyle="1" w:styleId="337">
    <w:name w:val="标题5"/>
    <w:basedOn w:val="4"/>
    <w:link w:val="336"/>
    <w:qFormat/>
    <w:uiPriority w:val="0"/>
    <w:rPr>
      <w:rFonts w:ascii="Arial" w:hAnsi="Arial"/>
      <w:kern w:val="0"/>
      <w:sz w:val="24"/>
    </w:rPr>
  </w:style>
  <w:style w:type="character" w:customStyle="1" w:styleId="338">
    <w:name w:val="批注文字 Char Char"/>
    <w:qFormat/>
    <w:uiPriority w:val="0"/>
    <w:rPr>
      <w:rFonts w:ascii="宋体" w:hAnsi="Times New Roman" w:eastAsia="宋体" w:cs="Times New Roman"/>
      <w:sz w:val="28"/>
      <w:szCs w:val="20"/>
    </w:rPr>
  </w:style>
  <w:style w:type="character" w:customStyle="1" w:styleId="339">
    <w:name w:val="书籍标题1"/>
    <w:qFormat/>
    <w:uiPriority w:val="0"/>
    <w:rPr>
      <w:b/>
      <w:bCs/>
      <w:smallCaps/>
      <w:spacing w:val="5"/>
    </w:rPr>
  </w:style>
  <w:style w:type="character" w:customStyle="1" w:styleId="340">
    <w:name w:val="不明显强调1"/>
    <w:qFormat/>
    <w:uiPriority w:val="0"/>
    <w:rPr>
      <w:i/>
      <w:iCs/>
      <w:color w:val="808080"/>
    </w:rPr>
  </w:style>
  <w:style w:type="character" w:customStyle="1" w:styleId="341">
    <w:name w:val="明显参考1"/>
    <w:qFormat/>
    <w:uiPriority w:val="0"/>
    <w:rPr>
      <w:b/>
      <w:bCs/>
      <w:smallCaps/>
      <w:color w:val="C0504D"/>
      <w:spacing w:val="5"/>
      <w:u w:val="single"/>
    </w:rPr>
  </w:style>
  <w:style w:type="character" w:customStyle="1" w:styleId="342">
    <w:name w:val="明显引用 Char2"/>
    <w:basedOn w:val="51"/>
    <w:link w:val="328"/>
    <w:qFormat/>
    <w:uiPriority w:val="30"/>
    <w:rPr>
      <w:b/>
      <w:bCs/>
      <w:i/>
      <w:iCs/>
      <w:color w:val="4F81BD" w:themeColor="accent1"/>
      <w:kern w:val="2"/>
      <w:sz w:val="21"/>
      <w:szCs w:val="24"/>
      <w14:textFill>
        <w14:solidFill>
          <w14:schemeClr w14:val="accent1"/>
        </w14:solidFill>
      </w14:textFill>
    </w:rPr>
  </w:style>
  <w:style w:type="paragraph" w:customStyle="1" w:styleId="343">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character" w:customStyle="1" w:styleId="344">
    <w:name w:val="引用 Char2"/>
    <w:basedOn w:val="51"/>
    <w:link w:val="335"/>
    <w:qFormat/>
    <w:uiPriority w:val="29"/>
    <w:rPr>
      <w:i/>
      <w:iCs/>
      <w:color w:val="000000" w:themeColor="text1"/>
      <w:kern w:val="2"/>
      <w:sz w:val="21"/>
      <w:szCs w:val="24"/>
      <w14:textFill>
        <w14:solidFill>
          <w14:schemeClr w14:val="tx1"/>
        </w14:solidFill>
      </w14:textFill>
    </w:rPr>
  </w:style>
  <w:style w:type="paragraph" w:customStyle="1" w:styleId="345">
    <w:name w:val="Char11"/>
    <w:basedOn w:val="1"/>
    <w:qFormat/>
    <w:uiPriority w:val="0"/>
    <w:rPr>
      <w:sz w:val="24"/>
      <w:szCs w:val="20"/>
    </w:rPr>
  </w:style>
  <w:style w:type="paragraph" w:customStyle="1" w:styleId="346">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7">
    <w:name w:val="空半行"/>
    <w:basedOn w:val="1"/>
    <w:qFormat/>
    <w:uiPriority w:val="0"/>
    <w:pPr>
      <w:adjustRightInd w:val="0"/>
      <w:spacing w:line="120" w:lineRule="exact"/>
      <w:textAlignment w:val="baseline"/>
    </w:pPr>
    <w:rPr>
      <w:rFonts w:eastAsia="仿宋_GB2312"/>
      <w:color w:val="FFFFFF"/>
      <w:kern w:val="0"/>
      <w:sz w:val="30"/>
      <w:szCs w:val="20"/>
    </w:rPr>
  </w:style>
  <w:style w:type="character" w:customStyle="1" w:styleId="348">
    <w:name w:val="spanright"/>
    <w:basedOn w:val="51"/>
    <w:qFormat/>
    <w:uiPriority w:val="0"/>
  </w:style>
  <w:style w:type="character" w:customStyle="1" w:styleId="349">
    <w:name w:val="spanleft"/>
    <w:basedOn w:val="51"/>
    <w:qFormat/>
    <w:uiPriority w:val="0"/>
  </w:style>
  <w:style w:type="character" w:customStyle="1" w:styleId="350">
    <w:name w:val="AutoCorrect Char"/>
    <w:link w:val="351"/>
    <w:qFormat/>
    <w:uiPriority w:val="0"/>
    <w:rPr>
      <w:rFonts w:eastAsia="PMingLiU"/>
      <w:kern w:val="2"/>
      <w:sz w:val="24"/>
      <w:lang w:eastAsia="zh-TW"/>
    </w:rPr>
  </w:style>
  <w:style w:type="paragraph" w:customStyle="1" w:styleId="351">
    <w:name w:val="AutoCorrect"/>
    <w:link w:val="350"/>
    <w:qFormat/>
    <w:uiPriority w:val="0"/>
    <w:pPr>
      <w:widowControl w:val="0"/>
    </w:pPr>
    <w:rPr>
      <w:rFonts w:ascii="Times New Roman" w:hAnsi="Times New Roman" w:eastAsia="PMingLiU" w:cs="Times New Roman"/>
      <w:kern w:val="2"/>
      <w:sz w:val="24"/>
      <w:lang w:val="en-US" w:eastAsia="zh-TW" w:bidi="ar-SA"/>
    </w:rPr>
  </w:style>
  <w:style w:type="character" w:customStyle="1" w:styleId="352">
    <w:name w:val="defaultfont1"/>
    <w:basedOn w:val="51"/>
    <w:qFormat/>
    <w:uiPriority w:val="0"/>
  </w:style>
  <w:style w:type="character" w:customStyle="1" w:styleId="353">
    <w:name w:val="称呼 Char"/>
    <w:qFormat/>
    <w:uiPriority w:val="0"/>
    <w:rPr>
      <w:rFonts w:ascii="楷体_GB2312" w:eastAsia="楷体_GB2312"/>
      <w:kern w:val="2"/>
      <w:sz w:val="28"/>
    </w:rPr>
  </w:style>
  <w:style w:type="character" w:customStyle="1" w:styleId="354">
    <w:name w:val="样式 标题 4 + 宋体 段前: 自动 段后: 自动 Char Char"/>
    <w:link w:val="355"/>
    <w:qFormat/>
    <w:uiPriority w:val="0"/>
    <w:rPr>
      <w:rFonts w:ascii="宋体" w:hAnsi="宋体"/>
      <w:bCs/>
      <w:sz w:val="24"/>
      <w:szCs w:val="24"/>
    </w:rPr>
  </w:style>
  <w:style w:type="paragraph" w:customStyle="1" w:styleId="355">
    <w:name w:val="样式 标题 4 + 宋体 段前: 自动 段后: 自动"/>
    <w:basedOn w:val="5"/>
    <w:link w:val="354"/>
    <w:qFormat/>
    <w:uiPriority w:val="0"/>
    <w:pPr>
      <w:keepNext/>
      <w:widowControl w:val="0"/>
      <w:tabs>
        <w:tab w:val="left" w:pos="57"/>
      </w:tabs>
      <w:spacing w:before="0" w:beforeAutospacing="0" w:after="0" w:afterAutospacing="0" w:line="360" w:lineRule="auto"/>
      <w:jc w:val="both"/>
    </w:pPr>
    <w:rPr>
      <w:b w:val="0"/>
    </w:rPr>
  </w:style>
  <w:style w:type="character" w:customStyle="1" w:styleId="356">
    <w:name w:val="称呼 Char1"/>
    <w:basedOn w:val="51"/>
    <w:link w:val="19"/>
    <w:qFormat/>
    <w:uiPriority w:val="99"/>
    <w:rPr>
      <w:kern w:val="2"/>
      <w:sz w:val="21"/>
      <w:szCs w:val="24"/>
    </w:rPr>
  </w:style>
  <w:style w:type="paragraph" w:customStyle="1" w:styleId="357">
    <w:name w:val="样式 标题 2 + 宋体 小四 自动设置 两端对齐 行距: 1.5 倍行距"/>
    <w:basedOn w:val="3"/>
    <w:qFormat/>
    <w:uiPriority w:val="0"/>
    <w:pPr>
      <w:keepLines w:val="0"/>
      <w:tabs>
        <w:tab w:val="left" w:pos="284"/>
      </w:tabs>
      <w:spacing w:before="0" w:after="0" w:line="360" w:lineRule="auto"/>
      <w:ind w:left="284" w:hanging="284"/>
    </w:pPr>
    <w:rPr>
      <w:rFonts w:ascii="宋体" w:hAnsi="宋体" w:cs="宋体"/>
      <w:kern w:val="0"/>
      <w:sz w:val="24"/>
      <w:szCs w:val="20"/>
    </w:rPr>
  </w:style>
  <w:style w:type="paragraph" w:customStyle="1" w:styleId="358">
    <w:name w:val="Char Char1 Char Char Char Char Char Char Char"/>
    <w:basedOn w:val="1"/>
    <w:qFormat/>
    <w:uiPriority w:val="0"/>
    <w:pPr>
      <w:pageBreakBefore/>
    </w:pPr>
    <w:rPr>
      <w:rFonts w:ascii="宋体" w:eastAsia="仿宋_GB2312" w:cs="宋体"/>
      <w:sz w:val="28"/>
      <w:szCs w:val="28"/>
    </w:rPr>
  </w:style>
  <w:style w:type="paragraph" w:customStyle="1" w:styleId="359">
    <w:name w:val="_Style 8"/>
    <w:basedOn w:val="1"/>
    <w:qFormat/>
    <w:uiPriority w:val="34"/>
    <w:pPr>
      <w:ind w:firstLine="420" w:firstLineChars="200"/>
    </w:pPr>
    <w:rPr>
      <w:rFonts w:ascii="Calibri" w:hAnsi="Calibri"/>
      <w:sz w:val="28"/>
      <w:szCs w:val="28"/>
    </w:rPr>
  </w:style>
  <w:style w:type="paragraph" w:customStyle="1" w:styleId="360">
    <w:name w:val="样式3"/>
    <w:basedOn w:val="4"/>
    <w:qFormat/>
    <w:uiPriority w:val="0"/>
    <w:pPr>
      <w:autoSpaceDE w:val="0"/>
      <w:autoSpaceDN w:val="0"/>
      <w:adjustRightInd w:val="0"/>
      <w:spacing w:before="0" w:after="0" w:line="360" w:lineRule="auto"/>
      <w:ind w:left="119" w:right="-23"/>
      <w:jc w:val="left"/>
    </w:pPr>
    <w:rPr>
      <w:rFonts w:ascii="宋体" w:hAnsi="宋体" w:eastAsia="仿宋_GB2312"/>
      <w:kern w:val="0"/>
      <w:sz w:val="24"/>
    </w:rPr>
  </w:style>
  <w:style w:type="paragraph" w:customStyle="1" w:styleId="361">
    <w:name w:val="列出段落11"/>
    <w:basedOn w:val="1"/>
    <w:qFormat/>
    <w:uiPriority w:val="34"/>
    <w:pPr>
      <w:ind w:firstLine="420" w:firstLineChars="200"/>
    </w:pPr>
    <w:rPr>
      <w:rFonts w:ascii="Calibri" w:hAnsi="Calibri"/>
      <w:szCs w:val="22"/>
    </w:rPr>
  </w:style>
  <w:style w:type="paragraph" w:customStyle="1" w:styleId="362">
    <w:name w:val="样式 标题 6 + 宋体 小四 行距: 1.5 倍行距"/>
    <w:basedOn w:val="7"/>
    <w:qFormat/>
    <w:uiPriority w:val="0"/>
    <w:pPr>
      <w:keepNext w:val="0"/>
      <w:keepLines w:val="0"/>
      <w:tabs>
        <w:tab w:val="left" w:pos="284"/>
      </w:tabs>
      <w:autoSpaceDE w:val="0"/>
      <w:autoSpaceDN w:val="0"/>
      <w:spacing w:line="360" w:lineRule="auto"/>
      <w:ind w:left="340" w:hanging="56" w:firstLineChars="0"/>
      <w:jc w:val="left"/>
      <w:textAlignment w:val="auto"/>
    </w:pPr>
    <w:rPr>
      <w:rFonts w:ascii="宋体" w:hAnsi="宋体" w:eastAsia="宋体" w:cs="宋体"/>
      <w:sz w:val="24"/>
    </w:rPr>
  </w:style>
  <w:style w:type="paragraph" w:customStyle="1" w:styleId="363">
    <w:name w:val="样式 标题 5 + 宋体 段前: 自动 段后: 自动"/>
    <w:basedOn w:val="6"/>
    <w:qFormat/>
    <w:uiPriority w:val="0"/>
    <w:pPr>
      <w:keepNext/>
      <w:keepLines/>
      <w:widowControl w:val="0"/>
      <w:tabs>
        <w:tab w:val="left" w:pos="-113"/>
      </w:tabs>
      <w:spacing w:before="0" w:after="0" w:line="360" w:lineRule="auto"/>
      <w:ind w:left="624" w:hanging="624"/>
      <w:jc w:val="both"/>
    </w:pPr>
    <w:rPr>
      <w:rFonts w:cs="宋体"/>
      <w:b w:val="0"/>
      <w:bCs w:val="0"/>
      <w:kern w:val="2"/>
      <w:sz w:val="24"/>
      <w:szCs w:val="24"/>
    </w:rPr>
  </w:style>
  <w:style w:type="paragraph" w:customStyle="1" w:styleId="364">
    <w:name w:val="Char Char Char1 Char"/>
    <w:basedOn w:val="1"/>
    <w:qFormat/>
    <w:uiPriority w:val="0"/>
  </w:style>
  <w:style w:type="paragraph" w:customStyle="1" w:styleId="365">
    <w:name w:val="Char Char Char Char Char Char Char Char Char Char Char Char Char Char Char Char"/>
    <w:basedOn w:val="1"/>
    <w:qFormat/>
    <w:uiPriority w:val="0"/>
    <w:rPr>
      <w:rFonts w:ascii="Arial" w:hAnsi="Arial" w:cs="Arial"/>
      <w:sz w:val="20"/>
      <w:szCs w:val="20"/>
    </w:rPr>
  </w:style>
  <w:style w:type="paragraph" w:customStyle="1" w:styleId="366">
    <w:name w:val="Char3"/>
    <w:basedOn w:val="1"/>
    <w:qFormat/>
    <w:uiPriority w:val="0"/>
  </w:style>
  <w:style w:type="paragraph" w:customStyle="1" w:styleId="367">
    <w:name w:val="列出段落2"/>
    <w:basedOn w:val="1"/>
    <w:qFormat/>
    <w:uiPriority w:val="0"/>
    <w:pPr>
      <w:ind w:firstLine="420" w:firstLineChars="200"/>
    </w:pPr>
    <w:rPr>
      <w:sz w:val="28"/>
      <w:szCs w:val="28"/>
    </w:rPr>
  </w:style>
  <w:style w:type="paragraph" w:customStyle="1" w:styleId="368">
    <w:name w:val="列出段落21"/>
    <w:basedOn w:val="1"/>
    <w:qFormat/>
    <w:uiPriority w:val="34"/>
    <w:pPr>
      <w:ind w:firstLine="420" w:firstLineChars="200"/>
    </w:pPr>
    <w:rPr>
      <w:rFonts w:ascii="Calibri" w:hAnsi="Calibri"/>
      <w:szCs w:val="22"/>
    </w:rPr>
  </w:style>
  <w:style w:type="character" w:customStyle="1" w:styleId="369">
    <w:name w:val="明显参考2"/>
    <w:qFormat/>
    <w:uiPriority w:val="0"/>
    <w:rPr>
      <w:b/>
      <w:bCs/>
      <w:smallCaps/>
      <w:color w:val="C0504D"/>
      <w:spacing w:val="5"/>
      <w:u w:val="single"/>
    </w:rPr>
  </w:style>
  <w:style w:type="character" w:customStyle="1" w:styleId="370">
    <w:name w:val="文档结构图 Char2"/>
    <w:basedOn w:val="51"/>
    <w:semiHidden/>
    <w:qFormat/>
    <w:uiPriority w:val="99"/>
    <w:rPr>
      <w:rFonts w:ascii="宋体" w:hAnsi="Times New Roman" w:eastAsia="宋体" w:cs="Times New Roman"/>
      <w:sz w:val="18"/>
      <w:szCs w:val="18"/>
    </w:rPr>
  </w:style>
  <w:style w:type="character" w:customStyle="1" w:styleId="371">
    <w:name w:val="日期 Char2"/>
    <w:basedOn w:val="51"/>
    <w:semiHidden/>
    <w:qFormat/>
    <w:uiPriority w:val="99"/>
    <w:rPr>
      <w:rFonts w:ascii="Times New Roman" w:hAnsi="Times New Roman" w:eastAsia="宋体" w:cs="Times New Roman"/>
      <w:szCs w:val="24"/>
    </w:rPr>
  </w:style>
  <w:style w:type="character" w:customStyle="1" w:styleId="372">
    <w:name w:val="批注主题 Char2"/>
    <w:basedOn w:val="373"/>
    <w:semiHidden/>
    <w:qFormat/>
    <w:uiPriority w:val="99"/>
    <w:rPr>
      <w:rFonts w:ascii="Times New Roman" w:hAnsi="Times New Roman" w:eastAsia="宋体" w:cs="Times New Roman"/>
      <w:b/>
      <w:bCs/>
      <w:szCs w:val="24"/>
    </w:rPr>
  </w:style>
  <w:style w:type="character" w:customStyle="1" w:styleId="373">
    <w:name w:val="批注文字 Char1"/>
    <w:basedOn w:val="51"/>
    <w:semiHidden/>
    <w:qFormat/>
    <w:uiPriority w:val="99"/>
    <w:rPr>
      <w:rFonts w:ascii="Times New Roman" w:hAnsi="Times New Roman" w:eastAsia="宋体" w:cs="Times New Roman"/>
      <w:szCs w:val="24"/>
    </w:rPr>
  </w:style>
  <w:style w:type="character" w:customStyle="1" w:styleId="374">
    <w:name w:val="明显强调2"/>
    <w:qFormat/>
    <w:uiPriority w:val="0"/>
    <w:rPr>
      <w:b/>
      <w:bCs/>
      <w:i/>
      <w:iCs/>
      <w:color w:val="4F81BD"/>
    </w:rPr>
  </w:style>
  <w:style w:type="character" w:customStyle="1" w:styleId="375">
    <w:name w:val="页眉 Char1"/>
    <w:basedOn w:val="51"/>
    <w:semiHidden/>
    <w:qFormat/>
    <w:uiPriority w:val="99"/>
    <w:rPr>
      <w:rFonts w:ascii="Times New Roman" w:hAnsi="Times New Roman" w:eastAsia="宋体" w:cs="Times New Roman"/>
      <w:sz w:val="18"/>
      <w:szCs w:val="18"/>
    </w:rPr>
  </w:style>
  <w:style w:type="character" w:customStyle="1" w:styleId="376">
    <w:name w:val="纯文本 Char2"/>
    <w:basedOn w:val="51"/>
    <w:semiHidden/>
    <w:qFormat/>
    <w:uiPriority w:val="99"/>
    <w:rPr>
      <w:rFonts w:ascii="宋体" w:hAnsi="Courier New" w:eastAsia="宋体" w:cs="Courier New"/>
      <w:szCs w:val="21"/>
    </w:rPr>
  </w:style>
  <w:style w:type="character" w:customStyle="1" w:styleId="377">
    <w:name w:val="不明显强调2"/>
    <w:qFormat/>
    <w:uiPriority w:val="0"/>
    <w:rPr>
      <w:i/>
      <w:iCs/>
      <w:color w:val="808080"/>
    </w:rPr>
  </w:style>
  <w:style w:type="character" w:customStyle="1" w:styleId="378">
    <w:name w:val="页脚 Char1"/>
    <w:basedOn w:val="51"/>
    <w:semiHidden/>
    <w:qFormat/>
    <w:uiPriority w:val="99"/>
    <w:rPr>
      <w:rFonts w:ascii="Times New Roman" w:hAnsi="Times New Roman" w:eastAsia="宋体" w:cs="Times New Roman"/>
      <w:sz w:val="18"/>
      <w:szCs w:val="18"/>
    </w:rPr>
  </w:style>
  <w:style w:type="character" w:customStyle="1" w:styleId="379">
    <w:name w:val="书籍标题2"/>
    <w:qFormat/>
    <w:uiPriority w:val="0"/>
    <w:rPr>
      <w:b/>
      <w:bCs/>
      <w:smallCaps/>
      <w:spacing w:val="5"/>
    </w:rPr>
  </w:style>
  <w:style w:type="character" w:customStyle="1" w:styleId="380">
    <w:name w:val="批注框文本 Char2"/>
    <w:basedOn w:val="51"/>
    <w:semiHidden/>
    <w:qFormat/>
    <w:uiPriority w:val="99"/>
    <w:rPr>
      <w:rFonts w:ascii="Times New Roman" w:hAnsi="Times New Roman" w:eastAsia="宋体" w:cs="Times New Roman"/>
      <w:sz w:val="18"/>
      <w:szCs w:val="18"/>
    </w:rPr>
  </w:style>
  <w:style w:type="character" w:customStyle="1" w:styleId="381">
    <w:name w:val="正文文本 Char2"/>
    <w:basedOn w:val="51"/>
    <w:semiHidden/>
    <w:qFormat/>
    <w:uiPriority w:val="99"/>
    <w:rPr>
      <w:rFonts w:ascii="Times New Roman" w:hAnsi="Times New Roman" w:eastAsia="宋体" w:cs="Times New Roman"/>
      <w:szCs w:val="24"/>
    </w:rPr>
  </w:style>
  <w:style w:type="character" w:customStyle="1" w:styleId="382">
    <w:name w:val="不明显参考2"/>
    <w:qFormat/>
    <w:uiPriority w:val="0"/>
    <w:rPr>
      <w:smallCaps/>
      <w:color w:val="C0504D"/>
      <w:u w:val="single"/>
    </w:rPr>
  </w:style>
  <w:style w:type="character" w:customStyle="1" w:styleId="383">
    <w:name w:val="正文首行缩进 Char1"/>
    <w:basedOn w:val="381"/>
    <w:semiHidden/>
    <w:qFormat/>
    <w:uiPriority w:val="99"/>
    <w:rPr>
      <w:rFonts w:ascii="Times New Roman" w:hAnsi="Times New Roman" w:eastAsia="宋体" w:cs="Times New Roman"/>
      <w:szCs w:val="24"/>
    </w:rPr>
  </w:style>
  <w:style w:type="character" w:customStyle="1" w:styleId="384">
    <w:name w:val="明显引用 Char3"/>
    <w:basedOn w:val="51"/>
    <w:link w:val="327"/>
    <w:semiHidden/>
    <w:qFormat/>
    <w:uiPriority w:val="99"/>
    <w:rPr>
      <w:b/>
      <w:bCs/>
      <w:i/>
      <w:iCs/>
      <w:color w:val="4F81BD" w:themeColor="accent1"/>
      <w:kern w:val="2"/>
      <w:sz w:val="21"/>
      <w:szCs w:val="24"/>
      <w14:textFill>
        <w14:solidFill>
          <w14:schemeClr w14:val="accent1"/>
        </w14:solidFill>
      </w14:textFill>
    </w:rPr>
  </w:style>
  <w:style w:type="character" w:customStyle="1" w:styleId="385">
    <w:name w:val="引用 Char3"/>
    <w:basedOn w:val="51"/>
    <w:link w:val="334"/>
    <w:semiHidden/>
    <w:qFormat/>
    <w:uiPriority w:val="99"/>
    <w:rPr>
      <w:i/>
      <w:iCs/>
      <w:color w:val="000000" w:themeColor="text1"/>
      <w:kern w:val="2"/>
      <w:sz w:val="21"/>
      <w:szCs w:val="24"/>
      <w14:textFill>
        <w14:solidFill>
          <w14:schemeClr w14:val="tx1"/>
        </w14:solidFill>
      </w14:textFill>
    </w:rPr>
  </w:style>
  <w:style w:type="paragraph" w:customStyle="1" w:styleId="386">
    <w:name w:val="修订3"/>
    <w:qFormat/>
    <w:uiPriority w:val="0"/>
    <w:rPr>
      <w:rFonts w:ascii="Times New Roman" w:hAnsi="Times New Roman" w:eastAsia="宋体" w:cs="Times New Roman"/>
      <w:kern w:val="2"/>
      <w:sz w:val="21"/>
      <w:szCs w:val="24"/>
      <w:lang w:val="en-US" w:eastAsia="zh-CN" w:bidi="ar-SA"/>
    </w:rPr>
  </w:style>
  <w:style w:type="paragraph" w:customStyle="1" w:styleId="387">
    <w:name w:val="Char Char Char Char Char Char Char Char Char Char Char Char Char Char Char Char1"/>
    <w:basedOn w:val="1"/>
    <w:qFormat/>
    <w:uiPriority w:val="0"/>
    <w:rPr>
      <w:rFonts w:ascii="Arial" w:hAnsi="Arial" w:cs="Arial"/>
      <w:sz w:val="20"/>
      <w:szCs w:val="20"/>
    </w:rPr>
  </w:style>
  <w:style w:type="paragraph" w:customStyle="1" w:styleId="388">
    <w:name w:val="Char4"/>
    <w:basedOn w:val="1"/>
    <w:qFormat/>
    <w:uiPriority w:val="0"/>
  </w:style>
  <w:style w:type="paragraph" w:customStyle="1" w:styleId="389">
    <w:name w:val="Char Char Char1 Char1"/>
    <w:basedOn w:val="1"/>
    <w:qFormat/>
    <w:uiPriority w:val="0"/>
  </w:style>
  <w:style w:type="paragraph" w:customStyle="1" w:styleId="390">
    <w:name w:val="TOC 标题2"/>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391">
    <w:name w:val="无间隔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2">
    <w:name w:val="列出段落3"/>
    <w:basedOn w:val="1"/>
    <w:unhideWhenUsed/>
    <w:qFormat/>
    <w:uiPriority w:val="99"/>
    <w:pPr>
      <w:ind w:firstLine="420" w:firstLineChars="200"/>
    </w:pPr>
  </w:style>
  <w:style w:type="paragraph" w:styleId="393">
    <w:name w:val="List Paragraph"/>
    <w:basedOn w:val="1"/>
    <w:qFormat/>
    <w:uiPriority w:val="34"/>
    <w:pPr>
      <w:ind w:firstLine="420" w:firstLineChars="200"/>
    </w:pPr>
    <w:rPr>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2.xml"/><Relationship Id="rId17" Type="http://schemas.openxmlformats.org/officeDocument/2006/relationships/footer" Target="footer1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3596EC-F928-4F2C-BE0F-0CF634B5C1D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93</Pages>
  <Words>7806</Words>
  <Characters>44499</Characters>
  <Lines>370</Lines>
  <Paragraphs>104</Paragraphs>
  <TotalTime>0</TotalTime>
  <ScaleCrop>false</ScaleCrop>
  <LinksUpToDate>false</LinksUpToDate>
  <CharactersWithSpaces>52201</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2016-11-24T04:44:00Z</dcterms:created>
  <dc:creator>微软用户</dc:creator>
  <cp:lastModifiedBy>Administrator</cp:lastModifiedBy>
  <cp:lastPrinted>2016-12-08T09:34:00Z</cp:lastPrinted>
  <dcterms:modified xsi:type="dcterms:W3CDTF">2018-08-08T08:03:52Z</dcterms:modified>
  <dc:title>住房和城乡建设部关于印发《房屋建筑和市政工程标准施工招标资格预审文件》和《房屋建筑和市政工程标准施工招标文件》的通知</dc:title>
  <cp:revision>145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