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6"/>
        <w:jc w:val="center"/>
        <w:rPr>
          <w:rFonts w:hAnsi="宋体" w:cs="宋体"/>
          <w:sz w:val="36"/>
          <w:szCs w:val="36"/>
        </w:rPr>
      </w:pPr>
    </w:p>
    <w:p>
      <w:pPr>
        <w:pStyle w:val="26"/>
        <w:jc w:val="center"/>
        <w:rPr>
          <w:rFonts w:hAnsi="宋体" w:cs="宋体"/>
          <w:sz w:val="36"/>
          <w:szCs w:val="36"/>
        </w:rPr>
      </w:pPr>
    </w:p>
    <w:p>
      <w:pPr>
        <w:spacing w:line="360" w:lineRule="auto"/>
        <w:ind w:left="2385" w:hanging="2385" w:hangingChars="495"/>
        <w:jc w:val="center"/>
        <w:rPr>
          <w:rFonts w:ascii="宋体" w:hAnsi="宋体" w:cs="宋体"/>
          <w:b/>
          <w:sz w:val="48"/>
          <w:szCs w:val="32"/>
        </w:rPr>
      </w:pPr>
      <w:r>
        <w:rPr>
          <w:rFonts w:hint="eastAsia" w:ascii="宋体" w:hAnsi="宋体" w:cs="宋体"/>
          <w:b/>
          <w:sz w:val="48"/>
          <w:szCs w:val="32"/>
        </w:rPr>
        <w:t>安博重庆空港物流中心项目II期工程</w:t>
      </w:r>
    </w:p>
    <w:p>
      <w:pPr>
        <w:spacing w:line="360" w:lineRule="auto"/>
        <w:ind w:left="2385" w:hanging="2385" w:hangingChars="495"/>
        <w:jc w:val="center"/>
        <w:rPr>
          <w:rFonts w:ascii="宋体" w:hAnsi="宋体" w:cs="宋体"/>
          <w:b/>
          <w:sz w:val="48"/>
          <w:szCs w:val="32"/>
        </w:rPr>
      </w:pPr>
      <w:r>
        <w:rPr>
          <w:rFonts w:hint="eastAsia" w:ascii="宋体" w:hAnsi="宋体" w:cs="宋体"/>
          <w:b/>
          <w:sz w:val="48"/>
          <w:szCs w:val="32"/>
        </w:rPr>
        <w:t>栏杆、楼梯采购及安装</w:t>
      </w:r>
    </w:p>
    <w:p>
      <w:pPr>
        <w:rPr>
          <w:rFonts w:ascii="宋体" w:hAnsi="宋体" w:cs="宋体"/>
          <w:b/>
          <w:spacing w:val="20"/>
          <w:kern w:val="10"/>
          <w:sz w:val="48"/>
          <w:szCs w:val="48"/>
        </w:rPr>
      </w:pPr>
    </w:p>
    <w:p>
      <w:pPr>
        <w:rPr>
          <w:rFonts w:ascii="宋体" w:hAnsi="宋体" w:cs="宋体"/>
          <w:sz w:val="22"/>
          <w:szCs w:val="22"/>
        </w:rPr>
      </w:pPr>
    </w:p>
    <w:p>
      <w:pPr>
        <w:jc w:val="center"/>
        <w:rPr>
          <w:rFonts w:ascii="宋体" w:hAnsi="宋体" w:cs="宋体"/>
          <w:sz w:val="72"/>
          <w:szCs w:val="106"/>
        </w:rPr>
      </w:pPr>
      <w:r>
        <w:rPr>
          <w:rFonts w:hint="eastAsia" w:ascii="宋体" w:hAnsi="宋体" w:cs="宋体"/>
          <w:sz w:val="72"/>
          <w:szCs w:val="106"/>
        </w:rPr>
        <w:t>招标文件</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ind w:firstLine="948" w:firstLineChars="295"/>
        <w:rPr>
          <w:rFonts w:ascii="宋体" w:hAnsi="宋体" w:cs="宋体"/>
          <w:b/>
          <w:sz w:val="32"/>
          <w:szCs w:val="32"/>
          <w:u w:val="single"/>
        </w:rPr>
      </w:pPr>
      <w:r>
        <w:rPr>
          <w:rFonts w:hint="eastAsia" w:ascii="宋体" w:hAnsi="宋体" w:cs="宋体"/>
          <w:b/>
          <w:sz w:val="32"/>
          <w:szCs w:val="32"/>
        </w:rPr>
        <w:t>招标编号：</w:t>
      </w:r>
    </w:p>
    <w:p>
      <w:pPr>
        <w:rPr>
          <w:rFonts w:ascii="宋体" w:hAnsi="宋体" w:cs="宋体"/>
          <w:sz w:val="24"/>
        </w:rPr>
      </w:pPr>
    </w:p>
    <w:p>
      <w:pPr>
        <w:spacing w:line="480" w:lineRule="auto"/>
        <w:ind w:firstLine="948" w:firstLineChars="295"/>
        <w:rPr>
          <w:rFonts w:ascii="宋体" w:hAnsi="宋体" w:cs="宋体"/>
          <w:b/>
          <w:sz w:val="32"/>
          <w:szCs w:val="32"/>
          <w:u w:val="single"/>
        </w:rPr>
      </w:pPr>
      <w:r>
        <w:rPr>
          <w:rFonts w:hint="eastAsia" w:ascii="宋体" w:hAnsi="宋体" w:cs="宋体"/>
          <w:b/>
          <w:sz w:val="32"/>
          <w:szCs w:val="32"/>
        </w:rPr>
        <w:t>招标人：</w:t>
      </w:r>
      <w:r>
        <w:rPr>
          <w:rFonts w:hint="eastAsia" w:ascii="宋体" w:hAnsi="宋体" w:cs="宋体"/>
          <w:b/>
          <w:sz w:val="32"/>
          <w:szCs w:val="32"/>
          <w:u w:val="single"/>
        </w:rPr>
        <w:t xml:space="preserve">中机中联工程有限公司  </w:t>
      </w:r>
    </w:p>
    <w:p>
      <w:pPr>
        <w:spacing w:line="480" w:lineRule="auto"/>
        <w:ind w:firstLine="948" w:firstLineChars="295"/>
        <w:rPr>
          <w:rFonts w:ascii="宋体" w:hAnsi="宋体" w:cs="宋体"/>
          <w:b/>
          <w:sz w:val="32"/>
          <w:szCs w:val="32"/>
        </w:rPr>
      </w:pPr>
      <w:r>
        <w:rPr>
          <w:rFonts w:hint="eastAsia" w:ascii="宋体" w:hAnsi="宋体" w:cs="宋体"/>
          <w:b/>
          <w:sz w:val="32"/>
          <w:szCs w:val="32"/>
        </w:rPr>
        <w:t>地  址：</w:t>
      </w:r>
      <w:r>
        <w:rPr>
          <w:rFonts w:hint="eastAsia" w:ascii="宋体" w:hAnsi="宋体" w:cs="宋体"/>
          <w:b/>
          <w:sz w:val="32"/>
          <w:szCs w:val="32"/>
          <w:u w:val="single"/>
        </w:rPr>
        <w:t xml:space="preserve">重庆市渝州路17号     </w:t>
      </w:r>
    </w:p>
    <w:p>
      <w:pPr>
        <w:wordWrap w:val="0"/>
        <w:autoSpaceDE w:val="0"/>
        <w:autoSpaceDN w:val="0"/>
        <w:adjustRightInd w:val="0"/>
        <w:snapToGrid w:val="0"/>
        <w:spacing w:line="360" w:lineRule="auto"/>
        <w:ind w:firstLine="948" w:firstLineChars="295"/>
        <w:rPr>
          <w:rFonts w:ascii="宋体" w:hAnsi="宋体" w:cs="宋体"/>
          <w:b/>
          <w:sz w:val="32"/>
          <w:szCs w:val="32"/>
          <w:u w:val="single"/>
        </w:rPr>
      </w:pPr>
      <w:r>
        <w:rPr>
          <w:rFonts w:hint="eastAsia" w:ascii="宋体" w:hAnsi="宋体" w:cs="宋体"/>
          <w:b/>
          <w:sz w:val="32"/>
          <w:szCs w:val="32"/>
        </w:rPr>
        <w:t>时  间：</w:t>
      </w:r>
      <w:r>
        <w:rPr>
          <w:rFonts w:hint="eastAsia" w:ascii="宋体" w:hAnsi="宋体" w:cs="宋体"/>
          <w:b/>
          <w:sz w:val="32"/>
          <w:szCs w:val="32"/>
          <w:u w:val="single"/>
        </w:rPr>
        <w:t xml:space="preserve">2019年 2月           </w:t>
      </w:r>
    </w:p>
    <w:p>
      <w:pPr>
        <w:wordWrap w:val="0"/>
        <w:autoSpaceDE w:val="0"/>
        <w:autoSpaceDN w:val="0"/>
        <w:adjustRightInd w:val="0"/>
        <w:snapToGrid w:val="0"/>
        <w:spacing w:line="360" w:lineRule="auto"/>
        <w:ind w:firstLine="948" w:firstLineChars="295"/>
        <w:rPr>
          <w:rFonts w:ascii="宋体" w:hAnsi="宋体" w:cs="宋体"/>
          <w:b/>
          <w:sz w:val="32"/>
          <w:szCs w:val="32"/>
          <w:u w:val="single"/>
        </w:rPr>
      </w:pPr>
    </w:p>
    <w:p>
      <w:pPr>
        <w:wordWrap w:val="0"/>
        <w:autoSpaceDE w:val="0"/>
        <w:autoSpaceDN w:val="0"/>
        <w:adjustRightInd w:val="0"/>
        <w:snapToGrid w:val="0"/>
        <w:spacing w:line="360" w:lineRule="auto"/>
        <w:ind w:firstLine="948" w:firstLineChars="295"/>
        <w:rPr>
          <w:rFonts w:ascii="宋体" w:hAnsi="宋体" w:cs="宋体"/>
          <w:b/>
          <w:sz w:val="32"/>
          <w:szCs w:val="32"/>
          <w:u w:val="single"/>
        </w:rPr>
      </w:pPr>
    </w:p>
    <w:p>
      <w:pPr>
        <w:spacing w:line="480" w:lineRule="auto"/>
        <w:rPr>
          <w:rFonts w:ascii="宋体" w:hAnsi="宋体" w:cs="宋体"/>
          <w:b/>
          <w:sz w:val="32"/>
          <w:szCs w:val="32"/>
        </w:rPr>
        <w:sectPr>
          <w:headerReference r:id="rId3" w:type="default"/>
          <w:footerReference r:id="rId4" w:type="default"/>
          <w:footerReference r:id="rId5" w:type="even"/>
          <w:pgSz w:w="11906" w:h="16838"/>
          <w:pgMar w:top="1418" w:right="1361" w:bottom="1418" w:left="1418" w:header="851" w:footer="992" w:gutter="0"/>
          <w:pgNumType w:start="0"/>
          <w:cols w:space="720" w:num="1"/>
          <w:docGrid w:linePitch="312" w:charSpace="0"/>
        </w:sectPr>
      </w:pPr>
    </w:p>
    <w:p>
      <w:pPr>
        <w:spacing w:line="480" w:lineRule="auto"/>
        <w:ind w:firstLine="315" w:firstLineChars="98"/>
        <w:rPr>
          <w:rFonts w:ascii="宋体" w:hAnsi="宋体" w:cs="宋体"/>
          <w:b/>
          <w:sz w:val="32"/>
          <w:szCs w:val="32"/>
        </w:rPr>
      </w:pPr>
    </w:p>
    <w:p>
      <w:pPr>
        <w:autoSpaceDE w:val="0"/>
        <w:autoSpaceDN w:val="0"/>
        <w:adjustRightInd w:val="0"/>
        <w:snapToGrid w:val="0"/>
        <w:spacing w:line="360" w:lineRule="auto"/>
        <w:jc w:val="center"/>
        <w:rPr>
          <w:rFonts w:ascii="宋体" w:hAnsi="宋体" w:cs="宋体"/>
          <w:b/>
          <w:kern w:val="0"/>
          <w:sz w:val="52"/>
          <w:szCs w:val="52"/>
        </w:rPr>
      </w:pPr>
      <w:r>
        <w:rPr>
          <w:rFonts w:hint="eastAsia" w:ascii="宋体" w:hAnsi="宋体" w:cs="宋体"/>
          <w:b/>
          <w:kern w:val="0"/>
          <w:sz w:val="52"/>
          <w:szCs w:val="52"/>
        </w:rPr>
        <w:t>目　　录</w:t>
      </w:r>
    </w:p>
    <w:p>
      <w:pPr>
        <w:rPr>
          <w:rFonts w:ascii="宋体" w:hAnsi="宋体" w:cs="宋体"/>
          <w:szCs w:val="20"/>
        </w:rPr>
      </w:pPr>
    </w:p>
    <w:p>
      <w:pPr>
        <w:pStyle w:val="34"/>
        <w:rPr>
          <w:rFonts w:ascii="宋体" w:hAnsi="宋体" w:cs="宋体"/>
          <w:b w:val="0"/>
          <w:bCs w:val="0"/>
          <w:caps w:val="0"/>
          <w:sz w:val="21"/>
          <w:szCs w:val="24"/>
        </w:rPr>
      </w:pPr>
      <w:r>
        <w:rPr>
          <w:rFonts w:hint="eastAsia" w:ascii="宋体" w:hAnsi="宋体" w:cs="宋体"/>
        </w:rPr>
        <w:fldChar w:fldCharType="begin"/>
      </w:r>
      <w:r>
        <w:rPr>
          <w:rFonts w:hint="eastAsia" w:ascii="宋体" w:hAnsi="宋体" w:cs="宋体"/>
        </w:rPr>
        <w:instrText xml:space="preserve"> TOC \o "1-1" \h \z \u </w:instrText>
      </w:r>
      <w:r>
        <w:rPr>
          <w:rFonts w:hint="eastAsia" w:ascii="宋体" w:hAnsi="宋体" w:cs="宋体"/>
        </w:rPr>
        <w:fldChar w:fldCharType="separate"/>
      </w:r>
      <w:r>
        <w:fldChar w:fldCharType="begin"/>
      </w:r>
      <w:r>
        <w:instrText xml:space="preserve"> HYPERLINK \l "_Toc300662167" </w:instrText>
      </w:r>
      <w:r>
        <w:fldChar w:fldCharType="separate"/>
      </w:r>
      <w:r>
        <w:rPr>
          <w:rStyle w:val="54"/>
          <w:rFonts w:hint="eastAsia" w:ascii="宋体" w:hAnsi="宋体" w:cs="宋体"/>
          <w:snapToGrid w:val="0"/>
          <w:color w:val="auto"/>
          <w:kern w:val="0"/>
        </w:rPr>
        <w:t>第一章</w:t>
      </w:r>
      <w:r>
        <w:rPr>
          <w:rStyle w:val="54"/>
          <w:rFonts w:hint="eastAsia" w:ascii="宋体" w:hAnsi="宋体" w:cs="宋体"/>
          <w:color w:val="auto"/>
          <w:kern w:val="0"/>
        </w:rPr>
        <w:t>投标邀请书</w:t>
      </w:r>
      <w:r>
        <w:rPr>
          <w:rStyle w:val="54"/>
          <w:rFonts w:hint="eastAsia" w:ascii="宋体" w:hAnsi="宋体" w:cs="宋体"/>
          <w:color w:val="auto"/>
          <w:kern w:val="0"/>
        </w:rPr>
        <w:fldChar w:fldCharType="end"/>
      </w:r>
    </w:p>
    <w:p>
      <w:pPr>
        <w:pStyle w:val="34"/>
        <w:rPr>
          <w:rFonts w:ascii="宋体" w:hAnsi="宋体" w:cs="宋体"/>
          <w:b w:val="0"/>
          <w:bCs w:val="0"/>
          <w:caps w:val="0"/>
          <w:sz w:val="21"/>
          <w:szCs w:val="24"/>
        </w:rPr>
      </w:pPr>
      <w:r>
        <w:fldChar w:fldCharType="begin"/>
      </w:r>
      <w:r>
        <w:instrText xml:space="preserve"> HYPERLINK \l "_Toc300662168" </w:instrText>
      </w:r>
      <w:r>
        <w:fldChar w:fldCharType="separate"/>
      </w:r>
      <w:r>
        <w:rPr>
          <w:rStyle w:val="54"/>
          <w:rFonts w:hint="eastAsia" w:ascii="宋体" w:hAnsi="宋体" w:cs="宋体"/>
          <w:snapToGrid w:val="0"/>
          <w:color w:val="auto"/>
          <w:kern w:val="0"/>
        </w:rPr>
        <w:t>第二章</w:t>
      </w:r>
      <w:r>
        <w:rPr>
          <w:rStyle w:val="54"/>
          <w:rFonts w:hint="eastAsia" w:ascii="宋体" w:hAnsi="宋体" w:cs="宋体"/>
          <w:color w:val="auto"/>
          <w:kern w:val="0"/>
        </w:rPr>
        <w:t>投标人须知</w:t>
      </w:r>
      <w:r>
        <w:rPr>
          <w:rStyle w:val="54"/>
          <w:rFonts w:hint="eastAsia" w:ascii="宋体" w:hAnsi="宋体" w:cs="宋体"/>
          <w:color w:val="auto"/>
          <w:kern w:val="0"/>
        </w:rPr>
        <w:fldChar w:fldCharType="end"/>
      </w:r>
    </w:p>
    <w:p>
      <w:pPr>
        <w:pStyle w:val="34"/>
        <w:rPr>
          <w:rFonts w:ascii="宋体" w:hAnsi="宋体" w:cs="宋体"/>
          <w:kern w:val="0"/>
          <w:u w:val="single"/>
        </w:rPr>
      </w:pPr>
      <w:r>
        <w:fldChar w:fldCharType="begin"/>
      </w:r>
      <w:r>
        <w:instrText xml:space="preserve"> HYPERLINK \l "_Toc300662169" </w:instrText>
      </w:r>
      <w:r>
        <w:fldChar w:fldCharType="separate"/>
      </w:r>
      <w:r>
        <w:rPr>
          <w:rStyle w:val="54"/>
          <w:rFonts w:hint="eastAsia" w:ascii="宋体" w:hAnsi="宋体" w:cs="宋体"/>
          <w:color w:val="auto"/>
          <w:kern w:val="0"/>
        </w:rPr>
        <w:t>第三章评标办法</w:t>
      </w:r>
      <w:r>
        <w:rPr>
          <w:rStyle w:val="54"/>
          <w:rFonts w:hint="eastAsia" w:ascii="宋体" w:hAnsi="宋体" w:cs="宋体"/>
          <w:color w:val="auto"/>
          <w:kern w:val="0"/>
        </w:rPr>
        <w:fldChar w:fldCharType="end"/>
      </w:r>
    </w:p>
    <w:p>
      <w:pPr>
        <w:pStyle w:val="34"/>
        <w:rPr>
          <w:rStyle w:val="54"/>
          <w:rFonts w:ascii="宋体" w:hAnsi="宋体" w:cs="宋体"/>
          <w:color w:val="auto"/>
        </w:rPr>
      </w:pPr>
      <w:r>
        <w:fldChar w:fldCharType="begin"/>
      </w:r>
      <w:r>
        <w:instrText xml:space="preserve"> HYPERLINK \l "_Toc300662170" </w:instrText>
      </w:r>
      <w:r>
        <w:fldChar w:fldCharType="separate"/>
      </w:r>
      <w:r>
        <w:rPr>
          <w:rStyle w:val="54"/>
          <w:rFonts w:hint="eastAsia" w:ascii="宋体" w:hAnsi="宋体" w:cs="宋体"/>
          <w:color w:val="auto"/>
        </w:rPr>
        <w:t>第四章合同条款格式</w:t>
      </w:r>
      <w:r>
        <w:rPr>
          <w:rStyle w:val="54"/>
          <w:rFonts w:hint="eastAsia" w:ascii="宋体" w:hAnsi="宋体" w:cs="宋体"/>
          <w:color w:val="auto"/>
        </w:rPr>
        <w:fldChar w:fldCharType="end"/>
      </w:r>
    </w:p>
    <w:p>
      <w:pPr>
        <w:pStyle w:val="34"/>
        <w:rPr>
          <w:rFonts w:ascii="宋体" w:hAnsi="宋体" w:cs="宋体"/>
        </w:rPr>
      </w:pPr>
      <w:r>
        <w:rPr>
          <w:rStyle w:val="54"/>
          <w:rFonts w:hint="eastAsia" w:ascii="宋体" w:hAnsi="宋体" w:cs="宋体"/>
          <w:color w:val="auto"/>
          <w:u w:val="none"/>
        </w:rPr>
        <w:t>第五章</w:t>
      </w:r>
      <w:r>
        <w:fldChar w:fldCharType="begin"/>
      </w:r>
      <w:r>
        <w:instrText xml:space="preserve"> HYPERLINK \l "_Toc300662172" </w:instrText>
      </w:r>
      <w:r>
        <w:fldChar w:fldCharType="separate"/>
      </w:r>
      <w:r>
        <w:rPr>
          <w:rStyle w:val="54"/>
          <w:rFonts w:hint="eastAsia" w:ascii="宋体" w:hAnsi="宋体" w:cs="宋体"/>
          <w:color w:val="auto"/>
        </w:rPr>
        <w:t>图纸</w:t>
      </w:r>
      <w:r>
        <w:rPr>
          <w:rStyle w:val="54"/>
          <w:rFonts w:hint="eastAsia" w:ascii="宋体" w:hAnsi="宋体" w:cs="宋体"/>
          <w:color w:val="auto"/>
        </w:rPr>
        <w:fldChar w:fldCharType="end"/>
      </w:r>
    </w:p>
    <w:p>
      <w:pPr>
        <w:pStyle w:val="34"/>
        <w:rPr>
          <w:rFonts w:ascii="宋体" w:hAnsi="宋体" w:cs="宋体"/>
        </w:rPr>
      </w:pPr>
      <w:r>
        <w:fldChar w:fldCharType="begin"/>
      </w:r>
      <w:r>
        <w:instrText xml:space="preserve"> HYPERLINK \l "_Toc300662173" </w:instrText>
      </w:r>
      <w:r>
        <w:fldChar w:fldCharType="separate"/>
      </w:r>
      <w:r>
        <w:rPr>
          <w:rStyle w:val="54"/>
          <w:rFonts w:hint="eastAsia" w:ascii="宋体" w:hAnsi="宋体" w:cs="宋体"/>
          <w:color w:val="auto"/>
        </w:rPr>
        <w:t>第六章　技术标准和要求</w:t>
      </w:r>
      <w:r>
        <w:rPr>
          <w:rStyle w:val="54"/>
          <w:rFonts w:hint="eastAsia" w:ascii="宋体" w:hAnsi="宋体" w:cs="宋体"/>
          <w:color w:val="auto"/>
        </w:rPr>
        <w:fldChar w:fldCharType="end"/>
      </w:r>
    </w:p>
    <w:p>
      <w:pPr>
        <w:pStyle w:val="34"/>
        <w:rPr>
          <w:rFonts w:ascii="宋体" w:hAnsi="宋体" w:cs="宋体"/>
        </w:rPr>
      </w:pPr>
      <w:r>
        <w:fldChar w:fldCharType="begin"/>
      </w:r>
      <w:r>
        <w:instrText xml:space="preserve"> HYPERLINK \l "_Toc300662173" </w:instrText>
      </w:r>
      <w:r>
        <w:fldChar w:fldCharType="separate"/>
      </w:r>
      <w:r>
        <w:rPr>
          <w:rStyle w:val="54"/>
          <w:rFonts w:hint="eastAsia" w:ascii="宋体" w:hAnsi="宋体" w:cs="宋体"/>
          <w:color w:val="auto"/>
        </w:rPr>
        <w:t>第七章　投标文件格式</w:t>
      </w:r>
      <w:r>
        <w:rPr>
          <w:rStyle w:val="54"/>
          <w:rFonts w:hint="eastAsia" w:ascii="宋体" w:hAnsi="宋体" w:cs="宋体"/>
          <w:color w:val="auto"/>
        </w:rPr>
        <w:fldChar w:fldCharType="end"/>
      </w:r>
    </w:p>
    <w:p>
      <w:pPr>
        <w:rPr>
          <w:rFonts w:ascii="宋体" w:hAnsi="宋体" w:cs="宋体"/>
          <w:sz w:val="28"/>
          <w:szCs w:val="20"/>
        </w:rPr>
      </w:pPr>
      <w:r>
        <w:rPr>
          <w:rFonts w:hint="eastAsia" w:ascii="宋体" w:hAnsi="宋体" w:cs="宋体"/>
          <w:sz w:val="28"/>
          <w:szCs w:val="20"/>
        </w:rPr>
        <w:fldChar w:fldCharType="end"/>
      </w:r>
    </w:p>
    <w:p>
      <w:pPr>
        <w:rPr>
          <w:rFonts w:ascii="宋体" w:hAnsi="宋体" w:cs="宋体"/>
          <w:sz w:val="28"/>
          <w:szCs w:val="20"/>
        </w:rPr>
      </w:pPr>
    </w:p>
    <w:p>
      <w:pPr>
        <w:rPr>
          <w:rFonts w:ascii="宋体" w:hAnsi="宋体" w:cs="宋体"/>
          <w:sz w:val="28"/>
          <w:szCs w:val="20"/>
        </w:rPr>
      </w:pPr>
    </w:p>
    <w:p>
      <w:pPr>
        <w:rPr>
          <w:rFonts w:ascii="宋体" w:hAnsi="宋体" w:cs="宋体"/>
          <w:sz w:val="28"/>
          <w:szCs w:val="20"/>
        </w:rPr>
      </w:pPr>
    </w:p>
    <w:p>
      <w:pPr>
        <w:rPr>
          <w:rFonts w:ascii="宋体" w:hAnsi="宋体" w:cs="宋体"/>
          <w:sz w:val="28"/>
          <w:szCs w:val="20"/>
        </w:rPr>
      </w:pPr>
    </w:p>
    <w:p>
      <w:pPr>
        <w:rPr>
          <w:rFonts w:ascii="宋体" w:hAnsi="宋体" w:cs="宋体"/>
          <w:sz w:val="28"/>
          <w:szCs w:val="20"/>
        </w:rPr>
      </w:pPr>
    </w:p>
    <w:p>
      <w:pPr>
        <w:rPr>
          <w:rFonts w:ascii="宋体" w:hAnsi="宋体" w:cs="宋体"/>
          <w:sz w:val="28"/>
          <w:szCs w:val="20"/>
        </w:rPr>
      </w:pPr>
    </w:p>
    <w:p>
      <w:pPr>
        <w:tabs>
          <w:tab w:val="left" w:pos="2107"/>
        </w:tabs>
        <w:jc w:val="left"/>
        <w:rPr>
          <w:rFonts w:ascii="宋体" w:hAnsi="宋体" w:cs="宋体"/>
        </w:rPr>
        <w:sectPr>
          <w:footerReference r:id="rId6" w:type="default"/>
          <w:pgSz w:w="11906" w:h="16838"/>
          <w:pgMar w:top="1418" w:right="1361" w:bottom="1418" w:left="1418" w:header="851" w:footer="992" w:gutter="0"/>
          <w:pgNumType w:start="1"/>
          <w:cols w:space="720" w:num="1"/>
          <w:docGrid w:linePitch="312" w:charSpace="0"/>
        </w:sectPr>
      </w:pPr>
      <w:r>
        <w:rPr>
          <w:rFonts w:hint="eastAsia" w:ascii="宋体" w:hAnsi="宋体" w:cs="宋体"/>
          <w:sz w:val="28"/>
          <w:szCs w:val="20"/>
        </w:rPr>
        <w:tab/>
      </w:r>
    </w:p>
    <w:p>
      <w:pPr>
        <w:spacing w:line="460" w:lineRule="exact"/>
        <w:jc w:val="center"/>
        <w:rPr>
          <w:rFonts w:ascii="宋体" w:hAnsi="宋体" w:cs="宋体"/>
          <w:b/>
          <w:sz w:val="32"/>
          <w:szCs w:val="32"/>
        </w:rPr>
      </w:pPr>
      <w:bookmarkStart w:id="0" w:name="第01卷"/>
      <w:bookmarkEnd w:id="0"/>
      <w:bookmarkStart w:id="1" w:name="_Toc287620674"/>
      <w:bookmarkStart w:id="2" w:name="_Toc300662167"/>
      <w:bookmarkStart w:id="3" w:name="_Toc224103306"/>
      <w:bookmarkStart w:id="4" w:name="_Toc287607735"/>
      <w:r>
        <w:rPr>
          <w:rFonts w:hint="eastAsia" w:ascii="宋体" w:hAnsi="宋体" w:cs="宋体"/>
          <w:b/>
          <w:sz w:val="32"/>
          <w:szCs w:val="32"/>
        </w:rPr>
        <w:t>第一章 投标邀请书</w:t>
      </w:r>
      <w:bookmarkEnd w:id="1"/>
      <w:bookmarkEnd w:id="2"/>
      <w:bookmarkEnd w:id="3"/>
      <w:bookmarkEnd w:id="4"/>
    </w:p>
    <w:p>
      <w:pPr>
        <w:spacing w:line="460" w:lineRule="exact"/>
        <w:jc w:val="center"/>
        <w:rPr>
          <w:rFonts w:ascii="宋体" w:hAnsi="宋体" w:cs="宋体"/>
          <w:b/>
          <w:kern w:val="0"/>
          <w:sz w:val="28"/>
          <w:szCs w:val="28"/>
        </w:rPr>
      </w:pPr>
      <w:r>
        <w:rPr>
          <w:rFonts w:hint="eastAsia" w:ascii="宋体" w:hAnsi="宋体" w:cs="宋体"/>
          <w:b/>
          <w:kern w:val="0"/>
          <w:sz w:val="28"/>
          <w:szCs w:val="28"/>
        </w:rPr>
        <w:t>安博重庆空港物流中心项目II期工程-栏杆及楼梯投标邀请书</w:t>
      </w:r>
    </w:p>
    <w:p>
      <w:pPr>
        <w:tabs>
          <w:tab w:val="left" w:pos="2940"/>
        </w:tabs>
        <w:autoSpaceDE w:val="0"/>
        <w:autoSpaceDN w:val="0"/>
        <w:adjustRightInd w:val="0"/>
        <w:snapToGrid w:val="0"/>
        <w:spacing w:line="420" w:lineRule="exact"/>
        <w:jc w:val="left"/>
        <w:rPr>
          <w:rFonts w:ascii="宋体" w:hAnsi="宋体" w:cs="宋体"/>
          <w:b/>
          <w:snapToGrid w:val="0"/>
          <w:kern w:val="0"/>
          <w:szCs w:val="21"/>
          <w:u w:val="single"/>
        </w:rPr>
      </w:pPr>
    </w:p>
    <w:p>
      <w:pPr>
        <w:tabs>
          <w:tab w:val="left" w:pos="2940"/>
        </w:tabs>
        <w:autoSpaceDE w:val="0"/>
        <w:autoSpaceDN w:val="0"/>
        <w:adjustRightInd w:val="0"/>
        <w:snapToGrid w:val="0"/>
        <w:spacing w:line="420" w:lineRule="exact"/>
        <w:jc w:val="left"/>
        <w:rPr>
          <w:rFonts w:ascii="宋体" w:hAnsi="宋体" w:cs="宋体"/>
          <w:b/>
          <w:snapToGrid w:val="0"/>
          <w:sz w:val="28"/>
          <w:szCs w:val="28"/>
        </w:rPr>
      </w:pPr>
      <w:r>
        <w:rPr>
          <w:rFonts w:hint="eastAsia" w:ascii="宋体" w:hAnsi="宋体" w:cs="宋体"/>
          <w:b/>
          <w:snapToGrid w:val="0"/>
          <w:kern w:val="0"/>
          <w:szCs w:val="21"/>
          <w:u w:val="single"/>
        </w:rPr>
        <w:tab/>
      </w:r>
      <w:r>
        <w:rPr>
          <w:rFonts w:hint="eastAsia" w:ascii="宋体" w:hAnsi="宋体" w:cs="宋体"/>
          <w:snapToGrid w:val="0"/>
          <w:kern w:val="0"/>
          <w:szCs w:val="21"/>
        </w:rPr>
        <w:t>（被邀请单位名称）</w:t>
      </w:r>
    </w:p>
    <w:p>
      <w:pPr>
        <w:pStyle w:val="3"/>
        <w:spacing w:before="0" w:after="0" w:line="420" w:lineRule="exact"/>
        <w:rPr>
          <w:rFonts w:ascii="宋体" w:hAnsi="宋体" w:cs="宋体"/>
          <w:snapToGrid w:val="0"/>
        </w:rPr>
      </w:pPr>
      <w:bookmarkStart w:id="5" w:name="_Toc277082543"/>
      <w:bookmarkStart w:id="6" w:name="_Toc287620675"/>
      <w:bookmarkStart w:id="7" w:name="_Toc287607736"/>
      <w:bookmarkStart w:id="8" w:name="_Toc224103307"/>
      <w:r>
        <w:rPr>
          <w:rFonts w:hint="eastAsia" w:ascii="宋体" w:hAnsi="宋体" w:cs="宋体"/>
          <w:snapToGrid w:val="0"/>
        </w:rPr>
        <w:t>1.  招标条件</w:t>
      </w:r>
      <w:bookmarkEnd w:id="5"/>
      <w:bookmarkEnd w:id="6"/>
      <w:bookmarkEnd w:id="7"/>
      <w:bookmarkEnd w:id="8"/>
    </w:p>
    <w:p>
      <w:pPr>
        <w:spacing w:line="420" w:lineRule="exact"/>
        <w:ind w:firstLine="420" w:firstLineChars="200"/>
        <w:rPr>
          <w:rFonts w:ascii="宋体" w:hAnsi="宋体" w:cs="宋体"/>
          <w:b/>
          <w:snapToGrid w:val="0"/>
          <w:kern w:val="0"/>
          <w:szCs w:val="21"/>
          <w:u w:val="single"/>
        </w:rPr>
      </w:pPr>
      <w:r>
        <w:rPr>
          <w:rFonts w:hint="eastAsia" w:ascii="宋体" w:hAnsi="宋体" w:cs="宋体"/>
          <w:snapToGrid w:val="0"/>
          <w:kern w:val="0"/>
          <w:szCs w:val="21"/>
        </w:rPr>
        <w:t>本招标项目为</w:t>
      </w:r>
      <w:r>
        <w:rPr>
          <w:rFonts w:hint="eastAsia" w:ascii="宋体" w:hAnsi="宋体" w:cs="宋体"/>
          <w:snapToGrid w:val="0"/>
          <w:kern w:val="0"/>
          <w:szCs w:val="21"/>
          <w:u w:val="single"/>
        </w:rPr>
        <w:t>安博重庆空港物流中心项目II期工程-栏杆及楼梯采购招标文件</w:t>
      </w:r>
      <w:r>
        <w:rPr>
          <w:rFonts w:hint="eastAsia" w:ascii="宋体" w:hAnsi="宋体" w:cs="宋体"/>
          <w:snapToGrid w:val="0"/>
          <w:kern w:val="0"/>
          <w:szCs w:val="21"/>
        </w:rPr>
        <w:t>，项目总包方为</w:t>
      </w:r>
      <w:r>
        <w:rPr>
          <w:rFonts w:hint="eastAsia" w:ascii="宋体" w:hAnsi="宋体" w:cs="宋体"/>
          <w:szCs w:val="21"/>
          <w:u w:val="single"/>
        </w:rPr>
        <w:t xml:space="preserve"> 中机中联工程有限公司 </w:t>
      </w:r>
      <w:r>
        <w:rPr>
          <w:rFonts w:hint="eastAsia" w:ascii="宋体" w:hAnsi="宋体" w:cs="宋体"/>
          <w:snapToGrid w:val="0"/>
          <w:kern w:val="0"/>
          <w:szCs w:val="21"/>
        </w:rPr>
        <w:t>。项目已具备招标条件，邀请贵单位参加</w:t>
      </w:r>
      <w:r>
        <w:rPr>
          <w:rFonts w:hint="eastAsia" w:ascii="宋体" w:hAnsi="宋体" w:cs="宋体"/>
          <w:snapToGrid w:val="0"/>
          <w:kern w:val="0"/>
          <w:szCs w:val="21"/>
          <w:u w:val="single"/>
        </w:rPr>
        <w:t>安博重庆空港物流中心项目II期工程-栏杆及楼梯采购</w:t>
      </w:r>
      <w:r>
        <w:rPr>
          <w:rFonts w:hint="eastAsia" w:ascii="宋体" w:hAnsi="宋体" w:cs="宋体"/>
          <w:snapToGrid w:val="0"/>
          <w:kern w:val="0"/>
          <w:szCs w:val="21"/>
        </w:rPr>
        <w:t>投标。</w:t>
      </w:r>
    </w:p>
    <w:p>
      <w:pPr>
        <w:pStyle w:val="3"/>
        <w:spacing w:before="0" w:after="0" w:line="420" w:lineRule="exact"/>
        <w:rPr>
          <w:rFonts w:ascii="宋体" w:hAnsi="宋体" w:cs="宋体"/>
          <w:snapToGrid w:val="0"/>
        </w:rPr>
      </w:pPr>
      <w:bookmarkStart w:id="9" w:name="_Toc287620676"/>
      <w:bookmarkStart w:id="10" w:name="_Toc277082544"/>
      <w:bookmarkStart w:id="11" w:name="_Toc287607737"/>
      <w:bookmarkStart w:id="12" w:name="_Toc224103308"/>
      <w:r>
        <w:rPr>
          <w:rFonts w:hint="eastAsia" w:ascii="宋体" w:hAnsi="宋体" w:cs="宋体"/>
          <w:snapToGrid w:val="0"/>
        </w:rPr>
        <w:t>2.  项目概况与招标范围</w:t>
      </w:r>
      <w:bookmarkEnd w:id="9"/>
      <w:bookmarkEnd w:id="10"/>
      <w:bookmarkEnd w:id="11"/>
      <w:bookmarkEnd w:id="12"/>
    </w:p>
    <w:p>
      <w:pPr>
        <w:tabs>
          <w:tab w:val="left" w:pos="525"/>
          <w:tab w:val="left" w:pos="5080"/>
        </w:tabs>
        <w:autoSpaceDE w:val="0"/>
        <w:autoSpaceDN w:val="0"/>
        <w:adjustRightInd w:val="0"/>
        <w:snapToGrid w:val="0"/>
        <w:spacing w:line="420" w:lineRule="exact"/>
        <w:ind w:firstLine="420" w:firstLineChars="200"/>
        <w:jc w:val="left"/>
        <w:rPr>
          <w:rFonts w:ascii="宋体" w:hAnsi="宋体" w:cs="宋体"/>
          <w:snapToGrid w:val="0"/>
          <w:kern w:val="0"/>
          <w:szCs w:val="21"/>
        </w:rPr>
      </w:pPr>
      <w:bookmarkStart w:id="13" w:name="_Toc277082545"/>
      <w:bookmarkStart w:id="14" w:name="_Toc224103309"/>
      <w:bookmarkStart w:id="15" w:name="_Toc287620677"/>
      <w:bookmarkStart w:id="16" w:name="_Toc287607738"/>
      <w:r>
        <w:rPr>
          <w:rFonts w:hint="eastAsia" w:ascii="宋体" w:hAnsi="宋体" w:cs="宋体"/>
          <w:snapToGrid w:val="0"/>
          <w:kern w:val="0"/>
          <w:szCs w:val="21"/>
        </w:rPr>
        <w:t>2.1 建设地点：</w:t>
      </w:r>
      <w:r>
        <w:rPr>
          <w:rFonts w:hint="eastAsia" w:ascii="宋体" w:hAnsi="宋体" w:cs="宋体"/>
          <w:snapToGrid w:val="0"/>
          <w:kern w:val="0"/>
          <w:szCs w:val="21"/>
          <w:u w:val="single"/>
        </w:rPr>
        <w:t>重庆市两江新区两路寸滩保税港区空港现代物流园区</w:t>
      </w:r>
      <w:r>
        <w:rPr>
          <w:rFonts w:hint="eastAsia" w:ascii="宋体" w:hAnsi="宋体" w:cs="宋体"/>
          <w:snapToGrid w:val="0"/>
          <w:kern w:val="0"/>
          <w:szCs w:val="21"/>
        </w:rPr>
        <w:t>。</w:t>
      </w:r>
    </w:p>
    <w:p>
      <w:pPr>
        <w:spacing w:line="420" w:lineRule="exact"/>
        <w:ind w:firstLine="420" w:firstLineChars="200"/>
        <w:rPr>
          <w:rFonts w:ascii="宋体" w:hAnsi="宋体" w:cs="宋体"/>
          <w:snapToGrid w:val="0"/>
          <w:kern w:val="0"/>
          <w:szCs w:val="21"/>
          <w:u w:val="single"/>
        </w:rPr>
      </w:pPr>
      <w:r>
        <w:rPr>
          <w:rFonts w:hint="eastAsia" w:ascii="宋体" w:hAnsi="宋体" w:cs="宋体"/>
          <w:snapToGrid w:val="0"/>
          <w:kern w:val="0"/>
          <w:szCs w:val="21"/>
          <w:u w:val="single"/>
        </w:rPr>
        <w:t>2.2 项目概况：建筑面积约13.8万m</w:t>
      </w:r>
      <w:r>
        <w:rPr>
          <w:rFonts w:hint="eastAsia" w:ascii="宋体" w:hAnsi="宋体" w:cs="宋体"/>
          <w:snapToGrid w:val="0"/>
          <w:kern w:val="0"/>
          <w:szCs w:val="21"/>
          <w:u w:val="single"/>
          <w:vertAlign w:val="superscript"/>
        </w:rPr>
        <w:t>2</w:t>
      </w:r>
      <w:r>
        <w:rPr>
          <w:rFonts w:hint="eastAsia" w:ascii="宋体" w:hAnsi="宋体" w:cs="宋体"/>
          <w:snapToGrid w:val="0"/>
          <w:kern w:val="0"/>
          <w:szCs w:val="21"/>
          <w:u w:val="single"/>
        </w:rPr>
        <w:t>，</w:t>
      </w:r>
      <w:r>
        <w:rPr>
          <w:rFonts w:hint="eastAsia" w:ascii="宋体" w:hAnsi="宋体" w:cs="宋体"/>
          <w:snapToGrid w:val="0"/>
          <w:color w:val="000000" w:themeColor="text1"/>
          <w:kern w:val="0"/>
          <w:szCs w:val="21"/>
          <w:u w:val="single"/>
          <w14:textFill>
            <w14:solidFill>
              <w14:schemeClr w14:val="tx1"/>
            </w14:solidFill>
          </w14:textFill>
        </w:rPr>
        <w:t>W-3/4/5/7仓库为地上1层，W-6仓库为地上2层仓库</w:t>
      </w:r>
      <w:r>
        <w:rPr>
          <w:rFonts w:hint="eastAsia" w:ascii="宋体" w:hAnsi="宋体" w:cs="宋体"/>
          <w:snapToGrid w:val="0"/>
          <w:kern w:val="0"/>
          <w:szCs w:val="21"/>
          <w:u w:val="single"/>
        </w:rPr>
        <w:t>。</w:t>
      </w:r>
    </w:p>
    <w:p>
      <w:pPr>
        <w:spacing w:line="42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u w:val="single"/>
        </w:rPr>
        <w:t>2.3招标范围：本项目施工图中所有栏杆、楼梯、围栏采购及安装。</w:t>
      </w:r>
    </w:p>
    <w:p>
      <w:pPr>
        <w:pStyle w:val="3"/>
        <w:spacing w:before="0" w:after="0" w:line="420" w:lineRule="exact"/>
        <w:rPr>
          <w:rFonts w:ascii="宋体" w:hAnsi="宋体" w:cs="宋体"/>
          <w:snapToGrid w:val="0"/>
        </w:rPr>
      </w:pPr>
      <w:r>
        <w:rPr>
          <w:rFonts w:hint="eastAsia" w:ascii="宋体" w:hAnsi="宋体" w:cs="宋体"/>
          <w:snapToGrid w:val="0"/>
        </w:rPr>
        <w:t>3.  投标人资格要求</w:t>
      </w:r>
      <w:bookmarkEnd w:id="13"/>
      <w:bookmarkEnd w:id="14"/>
      <w:bookmarkEnd w:id="15"/>
      <w:bookmarkEnd w:id="16"/>
    </w:p>
    <w:p>
      <w:pPr>
        <w:autoSpaceDE w:val="0"/>
        <w:autoSpaceDN w:val="0"/>
        <w:adjustRightInd w:val="0"/>
        <w:snapToGrid w:val="0"/>
        <w:spacing w:line="420" w:lineRule="exact"/>
        <w:ind w:firstLine="415" w:firstLineChars="198"/>
        <w:jc w:val="left"/>
        <w:rPr>
          <w:rFonts w:ascii="宋体" w:hAnsi="宋体" w:cs="宋体"/>
          <w:snapToGrid w:val="0"/>
          <w:kern w:val="0"/>
          <w:szCs w:val="21"/>
        </w:rPr>
      </w:pPr>
      <w:r>
        <w:rPr>
          <w:rFonts w:hint="eastAsia" w:ascii="宋体" w:hAnsi="宋体" w:cs="宋体"/>
          <w:snapToGrid w:val="0"/>
          <w:kern w:val="0"/>
          <w:szCs w:val="21"/>
        </w:rPr>
        <w:t>3.1  本次招标要求投标人具备：</w:t>
      </w:r>
    </w:p>
    <w:p>
      <w:pPr>
        <w:tabs>
          <w:tab w:val="left" w:pos="525"/>
          <w:tab w:val="left" w:pos="5080"/>
        </w:tabs>
        <w:autoSpaceDE w:val="0"/>
        <w:autoSpaceDN w:val="0"/>
        <w:adjustRightInd w:val="0"/>
        <w:snapToGrid w:val="0"/>
        <w:spacing w:line="420" w:lineRule="exact"/>
        <w:ind w:firstLine="735" w:firstLineChars="350"/>
        <w:jc w:val="left"/>
        <w:rPr>
          <w:rFonts w:ascii="宋体" w:hAnsi="宋体" w:cs="宋体"/>
          <w:snapToGrid w:val="0"/>
          <w:color w:val="FF0000"/>
          <w:kern w:val="0"/>
          <w:szCs w:val="21"/>
          <w:u w:val="single"/>
        </w:rPr>
      </w:pPr>
      <w:r>
        <w:rPr>
          <w:rFonts w:hint="eastAsia" w:ascii="宋体" w:hAnsi="宋体" w:cs="宋体"/>
          <w:snapToGrid w:val="0"/>
          <w:color w:val="FF0000"/>
          <w:kern w:val="0"/>
          <w:szCs w:val="21"/>
          <w:u w:val="single"/>
        </w:rPr>
        <w:t>1、</w:t>
      </w:r>
      <w:r>
        <w:rPr>
          <w:rFonts w:hint="eastAsia" w:ascii="宋体" w:hAnsi="宋体" w:cs="MingLiU"/>
          <w:snapToGrid w:val="0"/>
          <w:kern w:val="0"/>
          <w:szCs w:val="21"/>
          <w:u w:val="single"/>
        </w:rPr>
        <w:t>投标人所提供的栏杆材料应为国内知名品牌及以上</w:t>
      </w:r>
      <w:r>
        <w:rPr>
          <w:rFonts w:hint="eastAsia" w:ascii="宋体" w:hAnsi="宋体" w:cs="宋体"/>
          <w:snapToGrid w:val="0"/>
          <w:color w:val="FF0000"/>
          <w:kern w:val="0"/>
          <w:szCs w:val="21"/>
          <w:u w:val="single"/>
        </w:rPr>
        <w:t>。</w:t>
      </w:r>
    </w:p>
    <w:p>
      <w:pPr>
        <w:tabs>
          <w:tab w:val="left" w:pos="525"/>
          <w:tab w:val="left" w:pos="5080"/>
        </w:tabs>
        <w:autoSpaceDE w:val="0"/>
        <w:autoSpaceDN w:val="0"/>
        <w:adjustRightInd w:val="0"/>
        <w:snapToGrid w:val="0"/>
        <w:spacing w:line="420" w:lineRule="exact"/>
        <w:ind w:firstLine="735" w:firstLineChars="350"/>
        <w:jc w:val="left"/>
        <w:rPr>
          <w:rFonts w:ascii="宋体" w:hAnsi="宋体" w:cs="宋体"/>
          <w:snapToGrid w:val="0"/>
          <w:color w:val="FF0000"/>
          <w:kern w:val="0"/>
          <w:szCs w:val="21"/>
          <w:u w:val="single"/>
        </w:rPr>
      </w:pPr>
      <w:r>
        <w:rPr>
          <w:rFonts w:hint="eastAsia" w:ascii="宋体" w:hAnsi="宋体" w:cs="宋体"/>
          <w:snapToGrid w:val="0"/>
          <w:color w:val="FF0000"/>
          <w:kern w:val="0"/>
          <w:szCs w:val="21"/>
          <w:u w:val="single"/>
        </w:rPr>
        <w:t>2、近三年具有类似业绩3个或以上。</w:t>
      </w:r>
    </w:p>
    <w:p>
      <w:pPr>
        <w:tabs>
          <w:tab w:val="left" w:pos="525"/>
          <w:tab w:val="left" w:pos="5080"/>
        </w:tabs>
        <w:autoSpaceDE w:val="0"/>
        <w:autoSpaceDN w:val="0"/>
        <w:adjustRightInd w:val="0"/>
        <w:snapToGrid w:val="0"/>
        <w:spacing w:line="420" w:lineRule="exact"/>
        <w:ind w:firstLine="735" w:firstLineChars="350"/>
        <w:jc w:val="left"/>
        <w:rPr>
          <w:rFonts w:ascii="宋体" w:hAnsi="宋体" w:cs="宋体"/>
          <w:snapToGrid w:val="0"/>
          <w:color w:val="FF0000"/>
          <w:kern w:val="0"/>
          <w:szCs w:val="21"/>
          <w:u w:val="single"/>
        </w:rPr>
      </w:pPr>
      <w:r>
        <w:rPr>
          <w:rFonts w:hint="eastAsia" w:ascii="宋体" w:hAnsi="宋体" w:cs="宋体"/>
          <w:snapToGrid w:val="0"/>
          <w:color w:val="FF0000"/>
          <w:kern w:val="0"/>
          <w:szCs w:val="21"/>
          <w:u w:val="single"/>
        </w:rPr>
        <w:t>3、在人员、设备、资金等方面具有承担本标段施工的能力并经招标人供方资格评审合格。</w:t>
      </w:r>
    </w:p>
    <w:p>
      <w:pPr>
        <w:tabs>
          <w:tab w:val="left" w:pos="2060"/>
          <w:tab w:val="left" w:pos="8205"/>
        </w:tabs>
        <w:autoSpaceDE w:val="0"/>
        <w:autoSpaceDN w:val="0"/>
        <w:adjustRightInd w:val="0"/>
        <w:snapToGrid w:val="0"/>
        <w:spacing w:line="420" w:lineRule="exact"/>
        <w:ind w:firstLine="405" w:firstLineChars="193"/>
        <w:jc w:val="left"/>
        <w:rPr>
          <w:rFonts w:ascii="宋体" w:hAnsi="宋体" w:cs="宋体"/>
          <w:snapToGrid w:val="0"/>
          <w:kern w:val="0"/>
          <w:szCs w:val="21"/>
        </w:rPr>
      </w:pPr>
      <w:r>
        <w:rPr>
          <w:rFonts w:hint="eastAsia" w:ascii="宋体" w:hAnsi="宋体" w:cs="宋体"/>
          <w:snapToGrid w:val="0"/>
          <w:kern w:val="0"/>
          <w:szCs w:val="21"/>
        </w:rPr>
        <w:t>3.2  本次招标不接受联合体投标。</w:t>
      </w:r>
      <w:bookmarkStart w:id="17" w:name="_Toc287607739"/>
      <w:bookmarkStart w:id="18" w:name="_Toc277082546"/>
      <w:bookmarkStart w:id="19" w:name="_Toc287620678"/>
      <w:bookmarkStart w:id="20" w:name="_Toc224103310"/>
    </w:p>
    <w:bookmarkEnd w:id="17"/>
    <w:bookmarkEnd w:id="18"/>
    <w:bookmarkEnd w:id="19"/>
    <w:bookmarkEnd w:id="20"/>
    <w:p>
      <w:pPr>
        <w:pStyle w:val="3"/>
        <w:spacing w:before="0" w:after="0" w:line="420" w:lineRule="exact"/>
        <w:rPr>
          <w:rFonts w:ascii="宋体" w:hAnsi="宋体" w:cs="宋体"/>
          <w:snapToGrid w:val="0"/>
        </w:rPr>
      </w:pPr>
      <w:bookmarkStart w:id="21" w:name="_Toc287620679"/>
      <w:bookmarkStart w:id="22" w:name="_Toc224103311"/>
      <w:bookmarkStart w:id="23" w:name="_Toc287607740"/>
      <w:bookmarkStart w:id="24" w:name="_Toc277082547"/>
      <w:r>
        <w:rPr>
          <w:rFonts w:hint="eastAsia" w:ascii="宋体" w:hAnsi="宋体" w:cs="宋体"/>
          <w:snapToGrid w:val="0"/>
        </w:rPr>
        <w:t>4.  投标文件的递交</w:t>
      </w:r>
      <w:bookmarkEnd w:id="21"/>
      <w:bookmarkEnd w:id="22"/>
      <w:bookmarkEnd w:id="23"/>
      <w:bookmarkEnd w:id="24"/>
    </w:p>
    <w:p>
      <w:pPr>
        <w:tabs>
          <w:tab w:val="left" w:pos="1580"/>
          <w:tab w:val="left" w:pos="6000"/>
          <w:tab w:val="left" w:pos="6320"/>
          <w:tab w:val="left" w:pos="6887"/>
          <w:tab w:val="left" w:pos="7475"/>
        </w:tabs>
        <w:autoSpaceDE w:val="0"/>
        <w:autoSpaceDN w:val="0"/>
        <w:adjustRightInd w:val="0"/>
        <w:snapToGrid w:val="0"/>
        <w:spacing w:line="420" w:lineRule="exact"/>
        <w:ind w:firstLine="390" w:firstLineChars="186"/>
        <w:jc w:val="left"/>
        <w:rPr>
          <w:rFonts w:ascii="宋体" w:hAnsi="宋体" w:cs="宋体"/>
          <w:snapToGrid w:val="0"/>
          <w:color w:val="FF0000"/>
          <w:kern w:val="0"/>
          <w:szCs w:val="21"/>
        </w:rPr>
      </w:pPr>
      <w:r>
        <w:rPr>
          <w:rFonts w:hint="eastAsia" w:ascii="宋体" w:hAnsi="宋体" w:cs="宋体"/>
          <w:snapToGrid w:val="0"/>
          <w:color w:val="FF0000"/>
          <w:kern w:val="0"/>
          <w:szCs w:val="21"/>
        </w:rPr>
        <w:t>5.1  投标文件递交的截止时间（投标截止时间，下同）为</w:t>
      </w:r>
      <w:r>
        <w:rPr>
          <w:rFonts w:hint="eastAsia" w:ascii="宋体" w:hAnsi="宋体" w:cs="宋体"/>
          <w:snapToGrid w:val="0"/>
          <w:color w:val="FF0000"/>
          <w:kern w:val="0"/>
          <w:szCs w:val="21"/>
          <w:u w:val="single"/>
        </w:rPr>
        <w:t xml:space="preserve"> 2019</w:t>
      </w:r>
      <w:r>
        <w:rPr>
          <w:rFonts w:hint="eastAsia" w:ascii="宋体" w:hAnsi="宋体" w:cs="宋体"/>
          <w:snapToGrid w:val="0"/>
          <w:color w:val="FF0000"/>
          <w:kern w:val="0"/>
          <w:szCs w:val="21"/>
        </w:rPr>
        <w:t>年</w:t>
      </w:r>
      <w:r>
        <w:rPr>
          <w:rFonts w:hint="eastAsia" w:ascii="宋体" w:hAnsi="宋体" w:cs="宋体"/>
          <w:snapToGrid w:val="0"/>
          <w:color w:val="FF0000"/>
          <w:kern w:val="0"/>
          <w:szCs w:val="21"/>
          <w:u w:val="single"/>
        </w:rPr>
        <w:t xml:space="preserve"> 3</w:t>
      </w:r>
      <w:r>
        <w:rPr>
          <w:rFonts w:hint="eastAsia" w:ascii="宋体" w:hAnsi="宋体" w:cs="宋体"/>
          <w:snapToGrid w:val="0"/>
          <w:color w:val="FF0000"/>
          <w:kern w:val="0"/>
          <w:szCs w:val="21"/>
        </w:rPr>
        <w:t>月</w:t>
      </w:r>
      <w:r>
        <w:rPr>
          <w:rFonts w:hint="eastAsia" w:ascii="宋体" w:hAnsi="宋体" w:cs="宋体"/>
          <w:snapToGrid w:val="0"/>
          <w:color w:val="FF0000"/>
          <w:kern w:val="0"/>
          <w:szCs w:val="21"/>
          <w:u w:val="single"/>
        </w:rPr>
        <w:t xml:space="preserve"> 4 </w:t>
      </w:r>
      <w:r>
        <w:rPr>
          <w:rFonts w:hint="eastAsia" w:ascii="宋体" w:hAnsi="宋体" w:cs="宋体"/>
          <w:snapToGrid w:val="0"/>
          <w:color w:val="FF0000"/>
          <w:kern w:val="0"/>
          <w:szCs w:val="21"/>
        </w:rPr>
        <w:t>日</w:t>
      </w:r>
      <w:r>
        <w:rPr>
          <w:rFonts w:hint="eastAsia" w:ascii="宋体" w:hAnsi="宋体" w:cs="宋体"/>
          <w:snapToGrid w:val="0"/>
          <w:color w:val="FF0000"/>
          <w:kern w:val="0"/>
          <w:szCs w:val="21"/>
          <w:u w:val="single"/>
        </w:rPr>
        <w:t xml:space="preserve"> 15 </w:t>
      </w:r>
      <w:r>
        <w:rPr>
          <w:rFonts w:hint="eastAsia" w:ascii="宋体" w:hAnsi="宋体" w:cs="宋体"/>
          <w:snapToGrid w:val="0"/>
          <w:color w:val="FF0000"/>
          <w:kern w:val="0"/>
          <w:szCs w:val="21"/>
        </w:rPr>
        <w:t>时</w:t>
      </w:r>
      <w:r>
        <w:rPr>
          <w:rFonts w:hint="eastAsia" w:ascii="宋体" w:hAnsi="宋体" w:cs="宋体"/>
          <w:snapToGrid w:val="0"/>
          <w:color w:val="FF0000"/>
          <w:kern w:val="0"/>
          <w:szCs w:val="21"/>
          <w:u w:val="single"/>
        </w:rPr>
        <w:t xml:space="preserve">  30  </w:t>
      </w:r>
      <w:r>
        <w:rPr>
          <w:rFonts w:hint="eastAsia" w:ascii="宋体" w:hAnsi="宋体" w:cs="宋体"/>
          <w:snapToGrid w:val="0"/>
          <w:color w:val="FF0000"/>
          <w:kern w:val="0"/>
          <w:szCs w:val="21"/>
        </w:rPr>
        <w:t>分，地点为</w:t>
      </w:r>
      <w:r>
        <w:rPr>
          <w:rFonts w:hint="eastAsia" w:ascii="宋体" w:hAnsi="宋体" w:cs="宋体"/>
          <w:snapToGrid w:val="0"/>
          <w:color w:val="FF0000"/>
          <w:kern w:val="0"/>
          <w:szCs w:val="21"/>
          <w:u w:val="single"/>
        </w:rPr>
        <w:t xml:space="preserve"> 中机中联工程有限公司A栋</w:t>
      </w:r>
      <w:r>
        <w:rPr>
          <w:rFonts w:hint="eastAsia" w:ascii="宋体" w:hAnsi="宋体" w:cs="宋体"/>
          <w:snapToGrid w:val="0"/>
          <w:color w:val="FF0000"/>
          <w:kern w:val="0"/>
          <w:szCs w:val="21"/>
          <w:u w:val="single"/>
          <w:lang w:val="en-US" w:eastAsia="zh-CN"/>
        </w:rPr>
        <w:t>27</w:t>
      </w:r>
      <w:r>
        <w:rPr>
          <w:rFonts w:hint="eastAsia" w:ascii="宋体" w:hAnsi="宋体" w:cs="宋体"/>
          <w:snapToGrid w:val="0"/>
          <w:color w:val="FF0000"/>
          <w:kern w:val="0"/>
          <w:szCs w:val="21"/>
          <w:u w:val="single"/>
        </w:rPr>
        <w:t>楼</w:t>
      </w:r>
      <w:r>
        <w:rPr>
          <w:rFonts w:hint="eastAsia" w:ascii="宋体" w:hAnsi="宋体" w:cs="宋体"/>
          <w:snapToGrid w:val="0"/>
          <w:color w:val="FF0000"/>
          <w:kern w:val="0"/>
          <w:szCs w:val="21"/>
        </w:rPr>
        <w:t>。</w:t>
      </w:r>
    </w:p>
    <w:p>
      <w:pPr>
        <w:autoSpaceDE w:val="0"/>
        <w:autoSpaceDN w:val="0"/>
        <w:adjustRightInd w:val="0"/>
        <w:snapToGrid w:val="0"/>
        <w:spacing w:line="420" w:lineRule="exact"/>
        <w:ind w:firstLine="390" w:firstLineChars="186"/>
        <w:jc w:val="left"/>
        <w:rPr>
          <w:rFonts w:ascii="宋体" w:hAnsi="宋体" w:cs="宋体"/>
          <w:snapToGrid w:val="0"/>
          <w:kern w:val="0"/>
          <w:szCs w:val="21"/>
        </w:rPr>
      </w:pPr>
      <w:r>
        <w:rPr>
          <w:rFonts w:hint="eastAsia" w:ascii="宋体" w:hAnsi="宋体" w:cs="宋体"/>
          <w:snapToGrid w:val="0"/>
          <w:kern w:val="0"/>
          <w:szCs w:val="21"/>
        </w:rPr>
        <w:t>5.2逾期送达的或者未送达指定地点的投标文件，招标人不予受理。</w:t>
      </w:r>
    </w:p>
    <w:p>
      <w:pPr>
        <w:pStyle w:val="3"/>
        <w:spacing w:before="0" w:after="0" w:line="420" w:lineRule="exact"/>
        <w:rPr>
          <w:rFonts w:ascii="宋体" w:hAnsi="宋体" w:cs="宋体"/>
          <w:snapToGrid w:val="0"/>
        </w:rPr>
      </w:pPr>
      <w:bookmarkStart w:id="25" w:name="_Toc287607742"/>
      <w:bookmarkStart w:id="26" w:name="_Toc224103313"/>
      <w:bookmarkStart w:id="27" w:name="_Toc277082549"/>
      <w:bookmarkStart w:id="28" w:name="_Toc287620681"/>
      <w:r>
        <w:rPr>
          <w:rFonts w:hint="eastAsia" w:ascii="宋体" w:hAnsi="宋体" w:cs="宋体"/>
          <w:snapToGrid w:val="0"/>
        </w:rPr>
        <w:t>5.  联系方式</w:t>
      </w:r>
      <w:bookmarkEnd w:id="25"/>
      <w:bookmarkEnd w:id="26"/>
      <w:bookmarkEnd w:id="27"/>
      <w:bookmarkEnd w:id="28"/>
    </w:p>
    <w:p>
      <w:pPr>
        <w:topLinePunct/>
        <w:spacing w:line="420" w:lineRule="exact"/>
        <w:ind w:firstLine="105" w:firstLineChars="50"/>
        <w:rPr>
          <w:rFonts w:ascii="宋体" w:hAnsi="宋体" w:cs="宋体"/>
          <w:szCs w:val="21"/>
        </w:rPr>
      </w:pPr>
      <w:r>
        <w:rPr>
          <w:rFonts w:hint="eastAsia" w:ascii="宋体" w:hAnsi="宋体" w:cs="宋体"/>
          <w:szCs w:val="21"/>
        </w:rPr>
        <w:t>招标人：</w:t>
      </w:r>
      <w:r>
        <w:rPr>
          <w:rFonts w:hint="eastAsia" w:ascii="宋体" w:hAnsi="宋体" w:cs="宋体"/>
          <w:szCs w:val="21"/>
          <w:u w:val="single"/>
        </w:rPr>
        <w:t>中机中联工程有限公司</w:t>
      </w:r>
    </w:p>
    <w:p>
      <w:pPr>
        <w:topLinePunct/>
        <w:spacing w:line="420" w:lineRule="exact"/>
        <w:ind w:left="5250" w:leftChars="50" w:hanging="5145" w:hangingChars="2450"/>
        <w:rPr>
          <w:rFonts w:ascii="宋体" w:hAnsi="宋体" w:cs="宋体"/>
          <w:szCs w:val="21"/>
        </w:rPr>
      </w:pPr>
      <w:r>
        <w:rPr>
          <w:rFonts w:hint="eastAsia" w:ascii="宋体" w:hAnsi="宋体" w:cs="宋体"/>
          <w:szCs w:val="21"/>
        </w:rPr>
        <w:t>地址：</w:t>
      </w:r>
      <w:r>
        <w:rPr>
          <w:rFonts w:hint="eastAsia" w:ascii="宋体" w:hAnsi="宋体" w:cs="宋体"/>
          <w:szCs w:val="21"/>
          <w:u w:val="single"/>
        </w:rPr>
        <w:t>重庆市九龙坡区渝州路17号</w:t>
      </w:r>
    </w:p>
    <w:p>
      <w:pPr>
        <w:topLinePunct/>
        <w:spacing w:line="420" w:lineRule="exact"/>
        <w:ind w:firstLine="105" w:firstLineChars="50"/>
        <w:rPr>
          <w:rFonts w:hint="eastAsia" w:ascii="宋体" w:hAnsi="宋体" w:eastAsia="宋体" w:cs="宋体"/>
          <w:szCs w:val="21"/>
          <w:lang w:eastAsia="zh-CN"/>
        </w:rPr>
      </w:pPr>
      <w:r>
        <w:rPr>
          <w:rFonts w:hint="eastAsia" w:ascii="宋体" w:hAnsi="宋体" w:cs="宋体"/>
          <w:szCs w:val="21"/>
        </w:rPr>
        <w:t>联系人：</w:t>
      </w:r>
      <w:r>
        <w:rPr>
          <w:rFonts w:hint="eastAsia" w:ascii="宋体" w:hAnsi="宋体" w:cs="宋体"/>
          <w:szCs w:val="21"/>
          <w:lang w:eastAsia="zh-CN"/>
        </w:rPr>
        <w:t>李翔</w:t>
      </w:r>
    </w:p>
    <w:p>
      <w:pPr>
        <w:topLinePunct/>
        <w:spacing w:line="420" w:lineRule="exact"/>
        <w:ind w:firstLine="105" w:firstLineChars="50"/>
        <w:rPr>
          <w:rFonts w:hint="eastAsia" w:ascii="宋体" w:hAnsi="宋体" w:eastAsia="宋体" w:cs="宋体"/>
          <w:szCs w:val="21"/>
          <w:u w:val="single"/>
          <w:lang w:val="en-US" w:eastAsia="zh-CN"/>
        </w:rPr>
      </w:pPr>
      <w:r>
        <w:rPr>
          <w:rFonts w:hint="eastAsia" w:ascii="宋体" w:hAnsi="宋体" w:cs="宋体"/>
          <w:szCs w:val="21"/>
        </w:rPr>
        <w:t>电话：</w:t>
      </w:r>
      <w:r>
        <w:rPr>
          <w:rFonts w:hint="eastAsia" w:ascii="宋体" w:hAnsi="宋体" w:cs="宋体"/>
          <w:kern w:val="0"/>
          <w:sz w:val="24"/>
        </w:rPr>
        <w:t> </w:t>
      </w:r>
      <w:r>
        <w:rPr>
          <w:rFonts w:hint="eastAsia" w:ascii="宋体" w:hAnsi="宋体" w:cs="宋体"/>
          <w:szCs w:val="21"/>
          <w:u w:val="single"/>
          <w:lang w:val="en-US" w:eastAsia="zh-CN"/>
        </w:rPr>
        <w:t>17783040806</w:t>
      </w:r>
    </w:p>
    <w:p>
      <w:pPr>
        <w:topLinePunct/>
        <w:spacing w:line="420" w:lineRule="exact"/>
        <w:ind w:firstLine="105" w:firstLineChars="50"/>
        <w:rPr>
          <w:rFonts w:hint="eastAsia" w:ascii="宋体" w:hAnsi="宋体" w:eastAsia="宋体" w:cs="宋体"/>
          <w:szCs w:val="21"/>
          <w:u w:val="single"/>
          <w:lang w:val="en-US" w:eastAsia="zh-CN"/>
        </w:rPr>
      </w:pPr>
      <w:r>
        <w:rPr>
          <w:rFonts w:hint="eastAsia" w:ascii="宋体" w:hAnsi="宋体" w:cs="宋体"/>
          <w:szCs w:val="21"/>
        </w:rPr>
        <w:t xml:space="preserve">邮箱：  </w:t>
      </w:r>
      <w:r>
        <w:rPr>
          <w:rFonts w:hint="eastAsia" w:ascii="宋体" w:hAnsi="宋体" w:cs="宋体"/>
          <w:szCs w:val="21"/>
          <w:lang w:val="en-US" w:eastAsia="zh-CN"/>
        </w:rPr>
        <w:t>153871335@qq.com</w:t>
      </w:r>
      <w:bookmarkStart w:id="370" w:name="_GoBack"/>
      <w:bookmarkEnd w:id="370"/>
    </w:p>
    <w:p>
      <w:pPr>
        <w:wordWrap w:val="0"/>
        <w:autoSpaceDE w:val="0"/>
        <w:autoSpaceDN w:val="0"/>
        <w:adjustRightInd w:val="0"/>
        <w:snapToGrid w:val="0"/>
        <w:spacing w:line="360" w:lineRule="auto"/>
        <w:ind w:firstLine="948" w:firstLineChars="295"/>
        <w:rPr>
          <w:rFonts w:ascii="宋体" w:hAnsi="宋体" w:cs="宋体"/>
          <w:b/>
          <w:sz w:val="32"/>
          <w:szCs w:val="32"/>
          <w:u w:val="single"/>
        </w:rPr>
      </w:pPr>
    </w:p>
    <w:p>
      <w:pPr>
        <w:spacing w:line="480" w:lineRule="auto"/>
        <w:rPr>
          <w:rFonts w:ascii="宋体" w:hAnsi="宋体" w:cs="宋体"/>
          <w:b/>
          <w:sz w:val="32"/>
          <w:szCs w:val="32"/>
        </w:rPr>
        <w:sectPr>
          <w:headerReference r:id="rId7" w:type="default"/>
          <w:footerReference r:id="rId8" w:type="default"/>
          <w:footerReference r:id="rId9" w:type="even"/>
          <w:pgSz w:w="11906" w:h="16838"/>
          <w:pgMar w:top="1418" w:right="1361" w:bottom="1418" w:left="1418" w:header="851" w:footer="992" w:gutter="0"/>
          <w:pgNumType w:start="2"/>
          <w:cols w:space="720" w:num="1"/>
          <w:docGrid w:linePitch="312" w:charSpace="0"/>
        </w:sectPr>
      </w:pPr>
    </w:p>
    <w:p>
      <w:pPr>
        <w:spacing w:line="360" w:lineRule="auto"/>
        <w:jc w:val="center"/>
        <w:rPr>
          <w:rFonts w:ascii="宋体" w:hAnsi="宋体" w:cs="宋体"/>
          <w:b/>
          <w:sz w:val="32"/>
          <w:szCs w:val="32"/>
        </w:rPr>
      </w:pPr>
      <w:bookmarkStart w:id="29" w:name="_Toc300662168"/>
      <w:bookmarkStart w:id="30" w:name="_Toc287620683"/>
      <w:bookmarkStart w:id="31" w:name="_Toc287607744"/>
      <w:bookmarkStart w:id="32" w:name="_Toc224103315"/>
      <w:r>
        <w:rPr>
          <w:rFonts w:hint="eastAsia" w:ascii="宋体" w:hAnsi="宋体" w:cs="宋体"/>
          <w:b/>
          <w:sz w:val="32"/>
          <w:szCs w:val="32"/>
        </w:rPr>
        <w:t>第二章 投标人须知</w:t>
      </w:r>
      <w:bookmarkEnd w:id="29"/>
      <w:bookmarkEnd w:id="30"/>
      <w:bookmarkEnd w:id="31"/>
      <w:bookmarkEnd w:id="32"/>
      <w:bookmarkStart w:id="33" w:name="_Toc287607745"/>
      <w:bookmarkStart w:id="34" w:name="_Toc287620684"/>
      <w:bookmarkStart w:id="35" w:name="_Toc224103316"/>
      <w:bookmarkStart w:id="36" w:name="_Toc277082551"/>
    </w:p>
    <w:p>
      <w:pPr>
        <w:spacing w:line="480" w:lineRule="auto"/>
        <w:jc w:val="center"/>
        <w:rPr>
          <w:rFonts w:ascii="宋体" w:hAnsi="宋体" w:cs="宋体"/>
          <w:b/>
          <w:sz w:val="32"/>
          <w:szCs w:val="32"/>
        </w:rPr>
      </w:pPr>
      <w:r>
        <w:rPr>
          <w:rFonts w:hint="eastAsia" w:ascii="宋体" w:hAnsi="宋体" w:cs="宋体"/>
          <w:b/>
          <w:sz w:val="32"/>
          <w:szCs w:val="32"/>
        </w:rPr>
        <w:t>投标人须知前附表</w:t>
      </w:r>
      <w:bookmarkEnd w:id="33"/>
      <w:bookmarkEnd w:id="34"/>
      <w:bookmarkEnd w:id="35"/>
      <w:bookmarkEnd w:id="36"/>
    </w:p>
    <w:tbl>
      <w:tblPr>
        <w:tblStyle w:val="57"/>
        <w:tblW w:w="9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925"/>
        <w:gridCol w:w="6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blHeader/>
        </w:trPr>
        <w:tc>
          <w:tcPr>
            <w:tcW w:w="1094" w:type="dxa"/>
            <w:vAlign w:val="center"/>
          </w:tcPr>
          <w:p>
            <w:pPr>
              <w:snapToGrid w:val="0"/>
              <w:spacing w:line="300" w:lineRule="auto"/>
              <w:jc w:val="center"/>
              <w:rPr>
                <w:rFonts w:ascii="宋体" w:hAnsi="宋体" w:cs="宋体"/>
                <w:b/>
                <w:kern w:val="0"/>
                <w:szCs w:val="21"/>
              </w:rPr>
            </w:pPr>
            <w:r>
              <w:rPr>
                <w:rFonts w:hint="eastAsia" w:ascii="宋体" w:hAnsi="宋体" w:cs="宋体"/>
                <w:b/>
                <w:kern w:val="0"/>
                <w:szCs w:val="21"/>
              </w:rPr>
              <w:t>条 款 号</w:t>
            </w:r>
          </w:p>
        </w:tc>
        <w:tc>
          <w:tcPr>
            <w:tcW w:w="1925" w:type="dxa"/>
            <w:vAlign w:val="center"/>
          </w:tcPr>
          <w:p>
            <w:pPr>
              <w:snapToGrid w:val="0"/>
              <w:spacing w:line="300" w:lineRule="auto"/>
              <w:jc w:val="center"/>
              <w:rPr>
                <w:rFonts w:ascii="宋体" w:hAnsi="宋体" w:cs="宋体"/>
                <w:b/>
                <w:kern w:val="0"/>
                <w:szCs w:val="21"/>
              </w:rPr>
            </w:pPr>
            <w:r>
              <w:rPr>
                <w:rFonts w:hint="eastAsia" w:ascii="宋体" w:hAnsi="宋体" w:cs="宋体"/>
                <w:b/>
                <w:kern w:val="0"/>
                <w:szCs w:val="21"/>
              </w:rPr>
              <w:t>条款名称</w:t>
            </w:r>
          </w:p>
        </w:tc>
        <w:tc>
          <w:tcPr>
            <w:tcW w:w="6500" w:type="dxa"/>
            <w:vAlign w:val="center"/>
          </w:tcPr>
          <w:p>
            <w:pPr>
              <w:snapToGrid w:val="0"/>
              <w:spacing w:line="300" w:lineRule="auto"/>
              <w:jc w:val="center"/>
              <w:rPr>
                <w:rFonts w:ascii="宋体" w:hAnsi="宋体" w:cs="宋体"/>
                <w:b/>
                <w:kern w:val="0"/>
                <w:szCs w:val="21"/>
              </w:rPr>
            </w:pPr>
            <w:r>
              <w:rPr>
                <w:rFonts w:hint="eastAsia" w:ascii="宋体" w:hAnsi="宋体" w:cs="宋体"/>
                <w:b/>
                <w:kern w:val="0"/>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1.1.2</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招标人</w:t>
            </w:r>
          </w:p>
        </w:tc>
        <w:tc>
          <w:tcPr>
            <w:tcW w:w="6500" w:type="dxa"/>
            <w:vAlign w:val="center"/>
          </w:tcPr>
          <w:p>
            <w:pPr>
              <w:snapToGrid w:val="0"/>
              <w:spacing w:line="300" w:lineRule="auto"/>
              <w:rPr>
                <w:rFonts w:ascii="宋体" w:hAnsi="宋体" w:cs="宋体"/>
                <w:kern w:val="0"/>
                <w:szCs w:val="21"/>
              </w:rPr>
            </w:pPr>
            <w:r>
              <w:rPr>
                <w:rFonts w:hint="eastAsia" w:ascii="宋体" w:hAnsi="宋体" w:cs="宋体"/>
                <w:kern w:val="0"/>
                <w:szCs w:val="21"/>
              </w:rPr>
              <w:t>名称：中机中联工程有限公司</w:t>
            </w:r>
          </w:p>
          <w:p>
            <w:pPr>
              <w:snapToGrid w:val="0"/>
              <w:spacing w:line="300" w:lineRule="auto"/>
              <w:rPr>
                <w:rFonts w:ascii="宋体" w:hAnsi="宋体" w:cs="宋体"/>
                <w:kern w:val="0"/>
                <w:szCs w:val="21"/>
              </w:rPr>
            </w:pPr>
            <w:r>
              <w:rPr>
                <w:rFonts w:hint="eastAsia" w:ascii="宋体" w:hAnsi="宋体" w:cs="宋体"/>
                <w:kern w:val="0"/>
                <w:szCs w:val="21"/>
              </w:rPr>
              <w:t>地址：重庆市九龙坡区渝州路17号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1.1.4</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项目名称</w:t>
            </w:r>
          </w:p>
        </w:tc>
        <w:tc>
          <w:tcPr>
            <w:tcW w:w="6500" w:type="dxa"/>
            <w:vAlign w:val="center"/>
          </w:tcPr>
          <w:p>
            <w:pPr>
              <w:snapToGrid w:val="0"/>
              <w:spacing w:line="300" w:lineRule="auto"/>
              <w:rPr>
                <w:rFonts w:ascii="宋体" w:hAnsi="宋体" w:cs="宋体"/>
                <w:szCs w:val="21"/>
              </w:rPr>
            </w:pPr>
            <w:r>
              <w:rPr>
                <w:rFonts w:hint="eastAsia" w:ascii="宋体" w:hAnsi="宋体" w:cs="宋体"/>
                <w:szCs w:val="21"/>
              </w:rPr>
              <w:t>安博重庆空港物流中心项目II期工程-栏杆及楼梯采购招标文件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1.1.5</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建设地点</w:t>
            </w:r>
          </w:p>
        </w:tc>
        <w:tc>
          <w:tcPr>
            <w:tcW w:w="6500" w:type="dxa"/>
            <w:vAlign w:val="center"/>
          </w:tcPr>
          <w:p>
            <w:pPr>
              <w:snapToGrid w:val="0"/>
              <w:spacing w:line="300" w:lineRule="auto"/>
              <w:rPr>
                <w:rFonts w:ascii="宋体" w:hAnsi="宋体" w:cs="宋体"/>
                <w:szCs w:val="21"/>
              </w:rPr>
            </w:pPr>
            <w:r>
              <w:rPr>
                <w:rFonts w:hint="eastAsia" w:ascii="宋体" w:hAnsi="宋体" w:cs="宋体"/>
                <w:szCs w:val="21"/>
              </w:rPr>
              <w:t>重庆市两江新区两路寸滩保税港区空港现代物流园区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1.2.1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资金来源</w:t>
            </w:r>
          </w:p>
        </w:tc>
        <w:tc>
          <w:tcPr>
            <w:tcW w:w="6500" w:type="dxa"/>
            <w:vAlign w:val="center"/>
          </w:tcPr>
          <w:p>
            <w:pPr>
              <w:snapToGrid w:val="0"/>
              <w:spacing w:line="300" w:lineRule="auto"/>
              <w:jc w:val="left"/>
              <w:rPr>
                <w:rFonts w:ascii="宋体" w:hAnsi="宋体" w:cs="宋体"/>
                <w:szCs w:val="21"/>
              </w:rPr>
            </w:pPr>
            <w:r>
              <w:rPr>
                <w:rFonts w:hint="eastAsia" w:ascii="宋体" w:hAnsi="宋体" w:cs="宋体"/>
                <w:kern w:val="0"/>
                <w:szCs w:val="21"/>
              </w:rPr>
              <w:t>业主自筹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1.2.2</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出资比例</w:t>
            </w:r>
          </w:p>
        </w:tc>
        <w:tc>
          <w:tcPr>
            <w:tcW w:w="6500" w:type="dxa"/>
            <w:vAlign w:val="center"/>
          </w:tcPr>
          <w:p>
            <w:pPr>
              <w:snapToGrid w:val="0"/>
              <w:spacing w:line="300" w:lineRule="auto"/>
              <w:rPr>
                <w:rFonts w:ascii="宋体" w:hAnsi="宋体" w:cs="宋体"/>
                <w:szCs w:val="21"/>
              </w:rPr>
            </w:pPr>
            <w:r>
              <w:rPr>
                <w:rFonts w:hint="eastAsia" w:ascii="宋体" w:hAnsi="宋体" w:cs="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1.2.3</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资金落实情况</w:t>
            </w:r>
          </w:p>
        </w:tc>
        <w:tc>
          <w:tcPr>
            <w:tcW w:w="6500" w:type="dxa"/>
            <w:vAlign w:val="center"/>
          </w:tcPr>
          <w:p>
            <w:pPr>
              <w:snapToGrid w:val="0"/>
              <w:spacing w:line="300" w:lineRule="auto"/>
              <w:rPr>
                <w:rFonts w:ascii="宋体" w:hAnsi="宋体" w:cs="宋体"/>
                <w:szCs w:val="21"/>
              </w:rPr>
            </w:pPr>
            <w:r>
              <w:rPr>
                <w:rFonts w:hint="eastAsia" w:ascii="宋体" w:hAnsi="宋体" w:cs="宋体"/>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1.3.1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招标范围</w:t>
            </w:r>
          </w:p>
        </w:tc>
        <w:tc>
          <w:tcPr>
            <w:tcW w:w="6500" w:type="dxa"/>
            <w:vAlign w:val="center"/>
          </w:tcPr>
          <w:p>
            <w:pPr>
              <w:spacing w:line="420" w:lineRule="exact"/>
              <w:outlineLvl w:val="1"/>
              <w:rPr>
                <w:rFonts w:ascii="宋体" w:hAnsi="宋体" w:cs="宋体"/>
                <w:snapToGrid w:val="0"/>
                <w:kern w:val="0"/>
                <w:szCs w:val="21"/>
                <w:u w:val="single"/>
              </w:rPr>
            </w:pPr>
            <w:r>
              <w:rPr>
                <w:rFonts w:hint="eastAsia" w:ascii="宋体" w:hAnsi="宋体" w:cs="宋体"/>
                <w:snapToGrid w:val="0"/>
                <w:kern w:val="0"/>
                <w:szCs w:val="21"/>
                <w:u w:val="single"/>
              </w:rPr>
              <w:t>本项目施工图中所有栏杆、楼梯、围栏采购及安装，具体以图纸和清单为准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1.3.2</w:t>
            </w:r>
          </w:p>
        </w:tc>
        <w:tc>
          <w:tcPr>
            <w:tcW w:w="1925" w:type="dxa"/>
            <w:vAlign w:val="center"/>
          </w:tcPr>
          <w:p>
            <w:pPr>
              <w:snapToGrid w:val="0"/>
              <w:spacing w:line="300" w:lineRule="auto"/>
              <w:jc w:val="center"/>
              <w:rPr>
                <w:rFonts w:ascii="宋体" w:hAnsi="宋体" w:cs="宋体"/>
                <w:b/>
                <w:sz w:val="28"/>
                <w:szCs w:val="28"/>
              </w:rPr>
            </w:pPr>
            <w:r>
              <w:rPr>
                <w:rFonts w:hint="eastAsia" w:ascii="宋体" w:hAnsi="宋体" w:cs="宋体"/>
                <w:kern w:val="0"/>
                <w:szCs w:val="21"/>
              </w:rPr>
              <w:t>工期</w:t>
            </w:r>
          </w:p>
        </w:tc>
        <w:tc>
          <w:tcPr>
            <w:tcW w:w="6500" w:type="dxa"/>
            <w:vAlign w:val="center"/>
          </w:tcPr>
          <w:p>
            <w:pPr>
              <w:snapToGrid w:val="0"/>
              <w:spacing w:line="360" w:lineRule="auto"/>
              <w:rPr>
                <w:rFonts w:ascii="宋体" w:hAnsi="宋体" w:cs="宋体"/>
                <w:sz w:val="24"/>
              </w:rPr>
            </w:pPr>
            <w:r>
              <w:rPr>
                <w:rFonts w:hint="eastAsia" w:ascii="宋体" w:hAnsi="宋体" w:cs="宋体"/>
                <w:szCs w:val="21"/>
              </w:rPr>
              <w:t>工期满足招标人项目进度安排。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1.3.3</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质量要求</w:t>
            </w:r>
          </w:p>
        </w:tc>
        <w:tc>
          <w:tcPr>
            <w:tcW w:w="6500" w:type="dxa"/>
            <w:vAlign w:val="center"/>
          </w:tcPr>
          <w:p>
            <w:pPr>
              <w:wordWrap w:val="0"/>
              <w:adjustRightInd w:val="0"/>
              <w:snapToGrid w:val="0"/>
              <w:spacing w:line="400" w:lineRule="exact"/>
              <w:ind w:firstLine="420" w:firstLineChars="200"/>
              <w:rPr>
                <w:rFonts w:ascii="宋体" w:hAnsi="宋体" w:cs="宋体"/>
                <w:szCs w:val="21"/>
              </w:rPr>
            </w:pPr>
            <w:r>
              <w:rPr>
                <w:rFonts w:hint="eastAsia" w:ascii="宋体" w:hAnsi="宋体" w:cs="宋体"/>
                <w:szCs w:val="21"/>
              </w:rPr>
              <w:t>工程质量达到国家和地方现行相关规范、标准和工程设计文件的要求，并一次性验收合格。若未通过验收，所产生的整改及返工费用由承包人自行承担</w:t>
            </w: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094" w:type="dxa"/>
            <w:vAlign w:val="center"/>
          </w:tcPr>
          <w:p>
            <w:pPr>
              <w:snapToGrid w:val="0"/>
              <w:spacing w:line="300" w:lineRule="auto"/>
              <w:rPr>
                <w:rFonts w:ascii="宋体" w:hAnsi="宋体" w:cs="宋体"/>
                <w:kern w:val="0"/>
                <w:szCs w:val="21"/>
              </w:rPr>
            </w:pPr>
            <w:r>
              <w:rPr>
                <w:rFonts w:hint="eastAsia" w:ascii="宋体" w:hAnsi="宋体" w:cs="宋体"/>
                <w:kern w:val="0"/>
                <w:szCs w:val="21"/>
              </w:rPr>
              <w:t>1.4.1</w:t>
            </w:r>
          </w:p>
        </w:tc>
        <w:tc>
          <w:tcPr>
            <w:tcW w:w="1925" w:type="dxa"/>
            <w:vAlign w:val="center"/>
          </w:tcPr>
          <w:p>
            <w:pPr>
              <w:snapToGrid w:val="0"/>
              <w:spacing w:line="300" w:lineRule="auto"/>
              <w:rPr>
                <w:rFonts w:ascii="宋体" w:hAnsi="宋体" w:cs="宋体"/>
                <w:kern w:val="0"/>
                <w:szCs w:val="21"/>
              </w:rPr>
            </w:pPr>
            <w:r>
              <w:rPr>
                <w:rFonts w:hint="eastAsia" w:ascii="宋体" w:hAnsi="宋体" w:cs="宋体"/>
                <w:kern w:val="0"/>
                <w:szCs w:val="21"/>
              </w:rPr>
              <w:t>投标人资质条件、能力和信誉</w:t>
            </w:r>
          </w:p>
        </w:tc>
        <w:tc>
          <w:tcPr>
            <w:tcW w:w="6500" w:type="dxa"/>
            <w:vAlign w:val="center"/>
          </w:tcPr>
          <w:p>
            <w:pPr>
              <w:autoSpaceDE w:val="0"/>
              <w:autoSpaceDN w:val="0"/>
              <w:adjustRightInd w:val="0"/>
              <w:snapToGrid w:val="0"/>
              <w:spacing w:line="360" w:lineRule="auto"/>
              <w:jc w:val="left"/>
              <w:rPr>
                <w:rFonts w:ascii="宋体" w:hAnsi="宋体" w:cs="宋体"/>
                <w:color w:val="FF0000"/>
              </w:rPr>
            </w:pPr>
            <w:r>
              <w:rPr>
                <w:rFonts w:hint="eastAsia" w:ascii="宋体" w:hAnsi="宋体" w:cs="宋体"/>
                <w:color w:val="FF0000"/>
              </w:rPr>
              <w:t>投标人应具备以下资格条件：</w:t>
            </w:r>
          </w:p>
          <w:p>
            <w:pPr>
              <w:autoSpaceDE w:val="0"/>
              <w:autoSpaceDN w:val="0"/>
              <w:adjustRightInd w:val="0"/>
              <w:snapToGrid w:val="0"/>
              <w:spacing w:line="360" w:lineRule="auto"/>
              <w:ind w:firstLine="415" w:firstLineChars="198"/>
              <w:jc w:val="left"/>
              <w:rPr>
                <w:rFonts w:ascii="宋体" w:hAnsi="宋体" w:cs="宋体"/>
                <w:color w:val="FF0000"/>
              </w:rPr>
            </w:pPr>
            <w:r>
              <w:rPr>
                <w:rFonts w:hint="eastAsia" w:ascii="宋体" w:hAnsi="宋体" w:cs="宋体"/>
                <w:color w:val="FF0000"/>
              </w:rPr>
              <w:t>1、资质条件、营业执照及安全生产条件</w:t>
            </w:r>
          </w:p>
          <w:p>
            <w:pPr>
              <w:autoSpaceDE w:val="0"/>
              <w:autoSpaceDN w:val="0"/>
              <w:adjustRightInd w:val="0"/>
              <w:snapToGrid w:val="0"/>
              <w:spacing w:line="360" w:lineRule="auto"/>
              <w:ind w:firstLine="415" w:firstLineChars="198"/>
              <w:jc w:val="left"/>
              <w:rPr>
                <w:rFonts w:ascii="宋体" w:hAnsi="宋体" w:cs="宋体"/>
                <w:snapToGrid w:val="0"/>
                <w:color w:val="FF0000"/>
                <w:kern w:val="0"/>
                <w:szCs w:val="21"/>
              </w:rPr>
            </w:pPr>
            <w:r>
              <w:rPr>
                <w:rFonts w:hint="eastAsia" w:ascii="宋体" w:hAnsi="宋体" w:cs="宋体"/>
                <w:color w:val="FF0000"/>
              </w:rPr>
              <w:t>（1）</w:t>
            </w:r>
            <w:r>
              <w:rPr>
                <w:rFonts w:hint="eastAsia" w:ascii="宋体" w:hAnsi="宋体" w:cs="宋体"/>
                <w:snapToGrid w:val="0"/>
                <w:color w:val="FF0000"/>
                <w:kern w:val="0"/>
                <w:szCs w:val="21"/>
              </w:rPr>
              <w:t>本次招标要求投标人具备以下资质：</w:t>
            </w:r>
          </w:p>
          <w:p>
            <w:pPr>
              <w:snapToGrid w:val="0"/>
              <w:spacing w:line="360" w:lineRule="auto"/>
              <w:ind w:firstLine="420" w:firstLineChars="200"/>
              <w:rPr>
                <w:rFonts w:ascii="宋体" w:hAnsi="宋体" w:cs="MingLiU"/>
                <w:snapToGrid w:val="0"/>
                <w:kern w:val="0"/>
                <w:szCs w:val="21"/>
                <w:u w:val="single"/>
              </w:rPr>
            </w:pPr>
            <w:r>
              <w:rPr>
                <w:rFonts w:hint="eastAsia" w:ascii="宋体" w:hAnsi="宋体" w:cs="MingLiU"/>
                <w:snapToGrid w:val="0"/>
                <w:kern w:val="0"/>
                <w:szCs w:val="21"/>
                <w:u w:val="single"/>
              </w:rPr>
              <w:t>投标人所提供的栏杆材料应为国内知名品牌及以上。</w:t>
            </w:r>
          </w:p>
          <w:p>
            <w:pPr>
              <w:snapToGrid w:val="0"/>
              <w:spacing w:line="360" w:lineRule="auto"/>
              <w:ind w:firstLine="420" w:firstLineChars="200"/>
              <w:rPr>
                <w:rFonts w:ascii="宋体" w:hAnsi="宋体" w:cs="宋体"/>
                <w:color w:val="FF0000"/>
              </w:rPr>
            </w:pPr>
            <w:r>
              <w:rPr>
                <w:rFonts w:hint="eastAsia" w:ascii="宋体" w:hAnsi="宋体" w:cs="宋体"/>
                <w:color w:val="FF0000"/>
              </w:rPr>
              <w:t>（2）具备有效的营业执照（须提供有效的营业执照复印件）；</w:t>
            </w:r>
          </w:p>
          <w:p>
            <w:pPr>
              <w:autoSpaceDE w:val="0"/>
              <w:autoSpaceDN w:val="0"/>
              <w:adjustRightInd w:val="0"/>
              <w:snapToGrid w:val="0"/>
              <w:spacing w:line="360" w:lineRule="auto"/>
              <w:ind w:firstLine="420" w:firstLineChars="200"/>
              <w:jc w:val="left"/>
              <w:rPr>
                <w:rFonts w:ascii="宋体" w:hAnsi="宋体" w:cs="宋体"/>
                <w:color w:val="FF0000"/>
              </w:rPr>
            </w:pPr>
            <w:r>
              <w:rPr>
                <w:rFonts w:hint="eastAsia" w:ascii="宋体" w:hAnsi="宋体" w:cs="宋体"/>
                <w:color w:val="FF0000"/>
              </w:rPr>
              <w:t>（3）具备有效的经营执照，企业负责人、拟担任该项目经理和专职安全生产管理人员（即“三类人员”）具备相应的安全生产考核合格证书（须提供有效的安全生产许可证及“三类人员”安全生产考核合格证书复印件）。</w:t>
            </w:r>
          </w:p>
          <w:p>
            <w:pPr>
              <w:autoSpaceDE w:val="0"/>
              <w:autoSpaceDN w:val="0"/>
              <w:adjustRightInd w:val="0"/>
              <w:snapToGrid w:val="0"/>
              <w:spacing w:line="360" w:lineRule="auto"/>
              <w:ind w:firstLine="415" w:firstLineChars="198"/>
              <w:jc w:val="left"/>
              <w:rPr>
                <w:rFonts w:ascii="宋体" w:hAnsi="宋体" w:cs="宋体"/>
                <w:color w:val="FF0000"/>
              </w:rPr>
            </w:pPr>
            <w:r>
              <w:rPr>
                <w:rFonts w:hint="eastAsia" w:ascii="宋体" w:hAnsi="宋体" w:cs="宋体"/>
                <w:color w:val="FF0000"/>
              </w:rPr>
              <w:t>2、业绩要求：近3年具有类似业绩3个。</w:t>
            </w:r>
          </w:p>
          <w:p>
            <w:pPr>
              <w:autoSpaceDE w:val="0"/>
              <w:autoSpaceDN w:val="0"/>
              <w:adjustRightInd w:val="0"/>
              <w:snapToGrid w:val="0"/>
              <w:spacing w:line="360" w:lineRule="auto"/>
              <w:ind w:firstLine="415" w:firstLineChars="198"/>
              <w:jc w:val="left"/>
              <w:rPr>
                <w:rFonts w:ascii="宋体" w:hAnsi="宋体" w:cs="宋体"/>
                <w:color w:val="FF0000"/>
              </w:rPr>
            </w:pPr>
            <w:r>
              <w:rPr>
                <w:rFonts w:hint="eastAsia" w:ascii="宋体" w:hAnsi="宋体" w:cs="宋体"/>
                <w:color w:val="FF0000"/>
              </w:rPr>
              <w:t>3、在人员、设备、资金等方面具有承担本标段施工的能力并经招标人供方资格评审合格。</w:t>
            </w:r>
          </w:p>
          <w:p>
            <w:pPr>
              <w:tabs>
                <w:tab w:val="left" w:pos="525"/>
                <w:tab w:val="left" w:pos="5080"/>
              </w:tabs>
              <w:autoSpaceDE w:val="0"/>
              <w:autoSpaceDN w:val="0"/>
              <w:adjustRightInd w:val="0"/>
              <w:snapToGrid w:val="0"/>
              <w:spacing w:line="360" w:lineRule="auto"/>
              <w:ind w:firstLine="420" w:firstLineChars="200"/>
              <w:jc w:val="left"/>
              <w:rPr>
                <w:rFonts w:ascii="宋体" w:hAnsi="宋体" w:cs="宋体"/>
              </w:rPr>
            </w:pPr>
            <w:r>
              <w:rPr>
                <w:rFonts w:hint="eastAsia" w:ascii="宋体" w:hAnsi="宋体" w:cs="宋体"/>
                <w:color w:val="FF0000"/>
              </w:rPr>
              <w:t>4、投标人不得有挂靠行为，一经发现，招标人有权解除合同。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1.4.2</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是否接受</w:t>
            </w:r>
          </w:p>
          <w:p>
            <w:pPr>
              <w:snapToGrid w:val="0"/>
              <w:spacing w:line="360" w:lineRule="auto"/>
              <w:jc w:val="center"/>
              <w:rPr>
                <w:rFonts w:ascii="宋体" w:hAnsi="宋体" w:cs="宋体"/>
                <w:kern w:val="0"/>
                <w:szCs w:val="21"/>
              </w:rPr>
            </w:pPr>
            <w:r>
              <w:rPr>
                <w:rFonts w:hint="eastAsia" w:ascii="宋体" w:hAnsi="宋体" w:cs="宋体"/>
                <w:kern w:val="0"/>
                <w:szCs w:val="21"/>
              </w:rPr>
              <w:t>联合体投标</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1.9.1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踏勘现场</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由投标人自行现场踏勘。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1.10.1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投标预备会</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1.10.2</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投标人提出问题的截止时间</w:t>
            </w:r>
          </w:p>
        </w:tc>
        <w:tc>
          <w:tcPr>
            <w:tcW w:w="6500" w:type="dxa"/>
            <w:vAlign w:val="center"/>
          </w:tcPr>
          <w:p>
            <w:pPr>
              <w:snapToGrid w:val="0"/>
              <w:spacing w:line="360" w:lineRule="auto"/>
              <w:rPr>
                <w:rFonts w:ascii="宋体" w:hAnsi="宋体" w:cs="宋体"/>
                <w:color w:val="FF0000"/>
                <w:szCs w:val="21"/>
                <w:u w:val="single"/>
              </w:rPr>
            </w:pPr>
            <w:r>
              <w:rPr>
                <w:rFonts w:hint="eastAsia" w:ascii="宋体" w:hAnsi="宋体" w:cs="宋体"/>
                <w:color w:val="FF0000"/>
                <w:kern w:val="0"/>
                <w:szCs w:val="21"/>
              </w:rPr>
              <w:t>1、投标人提出问题的截止时间：</w:t>
            </w:r>
            <w:r>
              <w:rPr>
                <w:rFonts w:hint="eastAsia" w:ascii="宋体" w:hAnsi="宋体" w:cs="宋体"/>
                <w:color w:val="FF0000"/>
                <w:szCs w:val="21"/>
                <w:u w:val="single"/>
              </w:rPr>
              <w:t xml:space="preserve">2019 </w:t>
            </w:r>
            <w:r>
              <w:rPr>
                <w:rFonts w:hint="eastAsia" w:ascii="宋体" w:hAnsi="宋体" w:cs="宋体"/>
                <w:color w:val="FF0000"/>
                <w:szCs w:val="21"/>
              </w:rPr>
              <w:t>年</w:t>
            </w:r>
            <w:r>
              <w:rPr>
                <w:rFonts w:hint="eastAsia" w:ascii="宋体" w:hAnsi="宋体" w:cs="宋体"/>
                <w:color w:val="FF0000"/>
                <w:szCs w:val="21"/>
                <w:u w:val="single"/>
              </w:rPr>
              <w:t xml:space="preserve"> 2  </w:t>
            </w:r>
            <w:r>
              <w:rPr>
                <w:rFonts w:hint="eastAsia" w:ascii="宋体" w:hAnsi="宋体" w:cs="宋体"/>
                <w:color w:val="FF0000"/>
                <w:szCs w:val="21"/>
              </w:rPr>
              <w:t>月</w:t>
            </w:r>
            <w:r>
              <w:rPr>
                <w:rFonts w:hint="eastAsia" w:ascii="宋体" w:hAnsi="宋体" w:cs="宋体"/>
                <w:color w:val="FF0000"/>
                <w:szCs w:val="21"/>
                <w:u w:val="single"/>
              </w:rPr>
              <w:t xml:space="preserve"> 28 </w:t>
            </w:r>
            <w:r>
              <w:rPr>
                <w:rFonts w:hint="eastAsia" w:ascii="宋体" w:hAnsi="宋体" w:cs="宋体"/>
                <w:color w:val="FF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8"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1.10.3</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招标人</w:t>
            </w:r>
          </w:p>
          <w:p>
            <w:pPr>
              <w:snapToGrid w:val="0"/>
              <w:spacing w:line="360" w:lineRule="auto"/>
              <w:jc w:val="center"/>
              <w:rPr>
                <w:rFonts w:ascii="宋体" w:hAnsi="宋体" w:cs="宋体"/>
                <w:kern w:val="0"/>
                <w:szCs w:val="21"/>
              </w:rPr>
            </w:pPr>
            <w:r>
              <w:rPr>
                <w:rFonts w:hint="eastAsia" w:ascii="宋体" w:hAnsi="宋体" w:cs="宋体"/>
                <w:kern w:val="0"/>
                <w:szCs w:val="21"/>
              </w:rPr>
              <w:t>澄清的时间</w:t>
            </w:r>
          </w:p>
        </w:tc>
        <w:tc>
          <w:tcPr>
            <w:tcW w:w="6500" w:type="dxa"/>
            <w:vAlign w:val="center"/>
          </w:tcPr>
          <w:p>
            <w:pPr>
              <w:snapToGrid w:val="0"/>
              <w:spacing w:line="360" w:lineRule="auto"/>
              <w:rPr>
                <w:rFonts w:ascii="宋体" w:hAnsi="宋体" w:cs="宋体"/>
                <w:color w:val="FF0000"/>
                <w:kern w:val="0"/>
                <w:szCs w:val="21"/>
              </w:rPr>
            </w:pPr>
            <w:r>
              <w:rPr>
                <w:rFonts w:hint="eastAsia" w:ascii="宋体" w:hAnsi="宋体" w:cs="宋体"/>
                <w:color w:val="FF0000"/>
                <w:kern w:val="0"/>
                <w:szCs w:val="21"/>
              </w:rPr>
              <w:t>1、招标人澄清的时间：</w:t>
            </w:r>
            <w:r>
              <w:rPr>
                <w:rFonts w:hint="eastAsia" w:ascii="宋体" w:hAnsi="宋体" w:cs="宋体"/>
                <w:color w:val="FF0000"/>
                <w:szCs w:val="21"/>
                <w:u w:val="single"/>
              </w:rPr>
              <w:t>2019年  2 月  28  日前</w:t>
            </w:r>
            <w:r>
              <w:rPr>
                <w:rFonts w:hint="eastAsia" w:ascii="宋体" w:hAnsi="宋体" w:cs="宋体"/>
                <w:color w:val="FF0000"/>
                <w:kern w:val="0"/>
                <w:szCs w:val="21"/>
              </w:rPr>
              <w:t>；</w:t>
            </w:r>
          </w:p>
          <w:p>
            <w:pPr>
              <w:snapToGrid w:val="0"/>
              <w:spacing w:line="360" w:lineRule="auto"/>
              <w:rPr>
                <w:rFonts w:ascii="宋体" w:hAnsi="宋体" w:cs="宋体"/>
                <w:szCs w:val="21"/>
              </w:rPr>
            </w:pPr>
            <w:r>
              <w:rPr>
                <w:rFonts w:hint="eastAsia" w:ascii="宋体" w:hAnsi="宋体" w:cs="宋体"/>
                <w:kern w:val="0"/>
                <w:szCs w:val="21"/>
              </w:rPr>
              <w:t>2、如需要，招标从将适当延后投标截止时间。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1.11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分包</w:t>
            </w:r>
          </w:p>
        </w:tc>
        <w:tc>
          <w:tcPr>
            <w:tcW w:w="6500" w:type="dxa"/>
            <w:vAlign w:val="center"/>
          </w:tcPr>
          <w:p>
            <w:pPr>
              <w:pStyle w:val="4"/>
              <w:snapToGrid w:val="0"/>
              <w:spacing w:before="0" w:after="0" w:line="360" w:lineRule="auto"/>
              <w:rPr>
                <w:rFonts w:ascii="宋体" w:hAnsi="宋体" w:cs="宋体"/>
                <w:b w:val="0"/>
                <w:bCs w:val="0"/>
                <w:snapToGrid w:val="0"/>
                <w:kern w:val="0"/>
                <w:sz w:val="21"/>
                <w:szCs w:val="21"/>
              </w:rPr>
            </w:pPr>
            <w:r>
              <w:rPr>
                <w:rFonts w:hint="eastAsia" w:ascii="宋体" w:hAnsi="宋体" w:cs="宋体"/>
                <w:b w:val="0"/>
                <w:bCs w:val="0"/>
                <w:kern w:val="0"/>
                <w:sz w:val="21"/>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1094" w:type="dxa"/>
            <w:vAlign w:val="center"/>
          </w:tcPr>
          <w:p>
            <w:pPr>
              <w:autoSpaceDE w:val="0"/>
              <w:autoSpaceDN w:val="0"/>
              <w:adjustRightInd w:val="0"/>
              <w:snapToGrid w:val="0"/>
              <w:spacing w:line="360" w:lineRule="auto"/>
              <w:ind w:firstLine="210" w:firstLineChars="100"/>
              <w:jc w:val="left"/>
              <w:rPr>
                <w:rFonts w:ascii="宋体" w:hAnsi="宋体" w:cs="宋体"/>
                <w:kern w:val="0"/>
                <w:szCs w:val="21"/>
              </w:rPr>
            </w:pPr>
            <w:r>
              <w:rPr>
                <w:rFonts w:hint="eastAsia" w:ascii="宋体" w:hAnsi="宋体" w:cs="宋体"/>
                <w:kern w:val="0"/>
                <w:szCs w:val="21"/>
              </w:rPr>
              <w:t>1.12</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偏离</w:t>
            </w:r>
          </w:p>
        </w:tc>
        <w:tc>
          <w:tcPr>
            <w:tcW w:w="6500" w:type="dxa"/>
            <w:vAlign w:val="center"/>
          </w:tcPr>
          <w:p>
            <w:pPr>
              <w:autoSpaceDE w:val="0"/>
              <w:autoSpaceDN w:val="0"/>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不允许投标文件偏离招标文件的要求。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2.1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构成招标文件的其他材料</w:t>
            </w:r>
          </w:p>
        </w:tc>
        <w:tc>
          <w:tcPr>
            <w:tcW w:w="6500" w:type="dxa"/>
            <w:vAlign w:val="center"/>
          </w:tcPr>
          <w:p>
            <w:pPr>
              <w:snapToGrid w:val="0"/>
              <w:spacing w:line="360" w:lineRule="auto"/>
              <w:rPr>
                <w:rFonts w:ascii="宋体" w:hAnsi="宋体" w:cs="宋体"/>
                <w:szCs w:val="21"/>
              </w:rPr>
            </w:pPr>
            <w:r>
              <w:rPr>
                <w:rFonts w:hint="eastAsia" w:ascii="宋体" w:hAnsi="宋体" w:cs="宋体"/>
                <w:szCs w:val="21"/>
              </w:rPr>
              <w:t>招标人发出的修改、答疑及补遗书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2.2.1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投标人要求澄清招标文件的截止时间</w:t>
            </w:r>
          </w:p>
        </w:tc>
        <w:tc>
          <w:tcPr>
            <w:tcW w:w="6500" w:type="dxa"/>
            <w:vAlign w:val="center"/>
          </w:tcPr>
          <w:p>
            <w:pPr>
              <w:snapToGrid w:val="0"/>
              <w:spacing w:line="360" w:lineRule="auto"/>
              <w:ind w:firstLine="342" w:firstLineChars="163"/>
              <w:rPr>
                <w:rFonts w:ascii="宋体" w:hAnsi="宋体" w:cs="宋体"/>
                <w:kern w:val="0"/>
                <w:szCs w:val="21"/>
              </w:rPr>
            </w:pPr>
            <w:r>
              <w:rPr>
                <w:rFonts w:hint="eastAsia" w:ascii="宋体" w:hAnsi="宋体" w:cs="宋体"/>
                <w:kern w:val="0"/>
                <w:szCs w:val="21"/>
              </w:rPr>
              <w:t>投标人在收到招标文件后，应仔细检查招标文件的所有内容，如有残缺或文字表述不清，图纸尺寸标注不明以及存在错、碰、漏、缺、概念模糊和有可能出现歧义或理解上的偏差的内容等应在</w:t>
            </w:r>
            <w:r>
              <w:rPr>
                <w:rFonts w:hint="eastAsia" w:ascii="宋体" w:hAnsi="宋体" w:cs="宋体"/>
                <w:szCs w:val="21"/>
                <w:u w:val="single"/>
              </w:rPr>
              <w:t>2019年  2月 2 日前</w:t>
            </w:r>
            <w:r>
              <w:rPr>
                <w:rFonts w:hint="eastAsia" w:ascii="宋体" w:hAnsi="宋体" w:cs="宋体"/>
                <w:kern w:val="0"/>
                <w:szCs w:val="21"/>
              </w:rPr>
              <w:t>书面或电子邮件通知招标人。投标人未在规定时间内提出质疑，则视为投标人已全面确认招标文件及设计文件内容。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2.2.2</w:t>
            </w:r>
          </w:p>
        </w:tc>
        <w:tc>
          <w:tcPr>
            <w:tcW w:w="1925" w:type="dxa"/>
            <w:vAlign w:val="center"/>
          </w:tcPr>
          <w:p>
            <w:pPr>
              <w:snapToGrid w:val="0"/>
              <w:spacing w:line="300" w:lineRule="auto"/>
              <w:rPr>
                <w:rFonts w:ascii="宋体" w:hAnsi="宋体" w:cs="宋体"/>
                <w:kern w:val="0"/>
                <w:szCs w:val="21"/>
              </w:rPr>
            </w:pPr>
            <w:r>
              <w:rPr>
                <w:rFonts w:hint="eastAsia" w:ascii="宋体" w:hAnsi="宋体" w:cs="宋体"/>
                <w:kern w:val="0"/>
                <w:szCs w:val="21"/>
              </w:rPr>
              <w:t>投标截止时间</w:t>
            </w:r>
          </w:p>
        </w:tc>
        <w:tc>
          <w:tcPr>
            <w:tcW w:w="6500" w:type="dxa"/>
            <w:vAlign w:val="center"/>
          </w:tcPr>
          <w:p>
            <w:pPr>
              <w:snapToGrid w:val="0"/>
              <w:spacing w:line="360" w:lineRule="auto"/>
              <w:rPr>
                <w:rFonts w:ascii="宋体" w:hAnsi="宋体" w:cs="宋体"/>
                <w:kern w:val="0"/>
                <w:szCs w:val="21"/>
              </w:rPr>
            </w:pPr>
            <w:r>
              <w:rPr>
                <w:rFonts w:hint="eastAsia" w:ascii="宋体" w:hAnsi="宋体" w:cs="宋体"/>
                <w:szCs w:val="21"/>
                <w:u w:val="single"/>
              </w:rPr>
              <w:t>2019</w:t>
            </w:r>
            <w:r>
              <w:rPr>
                <w:rFonts w:hint="eastAsia" w:ascii="宋体" w:hAnsi="宋体" w:cs="宋体"/>
                <w:szCs w:val="21"/>
              </w:rPr>
              <w:t>年</w:t>
            </w:r>
            <w:r>
              <w:rPr>
                <w:rFonts w:hint="eastAsia" w:ascii="宋体" w:hAnsi="宋体" w:cs="宋体"/>
                <w:szCs w:val="21"/>
                <w:u w:val="single"/>
              </w:rPr>
              <w:t xml:space="preserve"> 3</w:t>
            </w:r>
            <w:r>
              <w:rPr>
                <w:rFonts w:hint="eastAsia" w:ascii="宋体" w:hAnsi="宋体" w:cs="宋体"/>
                <w:szCs w:val="21"/>
              </w:rPr>
              <w:t>月</w:t>
            </w:r>
            <w:r>
              <w:rPr>
                <w:rFonts w:hint="eastAsia" w:ascii="宋体" w:hAnsi="宋体" w:cs="宋体"/>
                <w:szCs w:val="21"/>
                <w:u w:val="single"/>
              </w:rPr>
              <w:t xml:space="preserve">  4   </w:t>
            </w:r>
            <w:r>
              <w:rPr>
                <w:rFonts w:hint="eastAsia" w:ascii="宋体" w:hAnsi="宋体" w:cs="宋体"/>
                <w:szCs w:val="21"/>
              </w:rPr>
              <w:t>日</w:t>
            </w:r>
            <w:r>
              <w:rPr>
                <w:rFonts w:hint="eastAsia" w:ascii="宋体" w:hAnsi="宋体" w:cs="宋体"/>
                <w:szCs w:val="21"/>
                <w:u w:val="single"/>
              </w:rPr>
              <w:t xml:space="preserve">  15  </w:t>
            </w:r>
            <w:r>
              <w:rPr>
                <w:rFonts w:hint="eastAsia" w:ascii="宋体" w:hAnsi="宋体" w:cs="宋体"/>
                <w:szCs w:val="21"/>
              </w:rPr>
              <w:t>时</w:t>
            </w:r>
            <w:r>
              <w:rPr>
                <w:rFonts w:hint="eastAsia" w:ascii="宋体" w:hAnsi="宋体" w:cs="宋体"/>
                <w:szCs w:val="21"/>
                <w:u w:val="single"/>
              </w:rPr>
              <w:t xml:space="preserve">  30  </w:t>
            </w:r>
            <w:r>
              <w:rPr>
                <w:rFonts w:hint="eastAsia" w:ascii="宋体" w:hAnsi="宋体" w:cs="宋体"/>
                <w:szCs w:val="21"/>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3.1.1</w:t>
            </w:r>
          </w:p>
        </w:tc>
        <w:tc>
          <w:tcPr>
            <w:tcW w:w="1925" w:type="dxa"/>
            <w:vAlign w:val="center"/>
          </w:tcPr>
          <w:p>
            <w:pPr>
              <w:snapToGrid w:val="0"/>
              <w:spacing w:line="360" w:lineRule="auto"/>
              <w:rPr>
                <w:rFonts w:ascii="宋体" w:hAnsi="宋体" w:cs="宋体"/>
                <w:kern w:val="0"/>
                <w:szCs w:val="21"/>
              </w:rPr>
            </w:pPr>
            <w:r>
              <w:rPr>
                <w:rFonts w:hint="eastAsia" w:ascii="宋体" w:hAnsi="宋体" w:cs="宋体"/>
                <w:kern w:val="0"/>
                <w:szCs w:val="21"/>
              </w:rPr>
              <w:t>构成投标文件的其他材料</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投标人的书面澄清、说明和补正（但不得改变投标文件的实质性内容）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trPr>
        <w:tc>
          <w:tcPr>
            <w:tcW w:w="1094" w:type="dxa"/>
            <w:vAlign w:val="center"/>
          </w:tcPr>
          <w:p>
            <w:pPr>
              <w:snapToGrid w:val="0"/>
              <w:spacing w:line="300" w:lineRule="auto"/>
              <w:rPr>
                <w:rFonts w:ascii="宋体" w:hAnsi="宋体" w:cs="宋体"/>
                <w:kern w:val="0"/>
                <w:szCs w:val="21"/>
              </w:rPr>
            </w:pPr>
            <w:r>
              <w:rPr>
                <w:rFonts w:hint="eastAsia" w:ascii="宋体" w:hAnsi="宋体" w:cs="宋体"/>
                <w:kern w:val="0"/>
                <w:szCs w:val="21"/>
              </w:rPr>
              <w:t>3.2</w:t>
            </w:r>
          </w:p>
        </w:tc>
        <w:tc>
          <w:tcPr>
            <w:tcW w:w="1925" w:type="dxa"/>
            <w:vAlign w:val="center"/>
          </w:tcPr>
          <w:p>
            <w:pPr>
              <w:snapToGrid w:val="0"/>
              <w:spacing w:line="360" w:lineRule="auto"/>
              <w:ind w:firstLine="342" w:firstLineChars="163"/>
              <w:rPr>
                <w:rFonts w:ascii="宋体" w:hAnsi="宋体" w:cs="宋体"/>
                <w:kern w:val="0"/>
                <w:szCs w:val="21"/>
              </w:rPr>
            </w:pPr>
            <w:r>
              <w:rPr>
                <w:rFonts w:hint="eastAsia" w:ascii="宋体" w:hAnsi="宋体" w:cs="宋体"/>
                <w:kern w:val="0"/>
                <w:szCs w:val="21"/>
              </w:rPr>
              <w:t>投标报价</w:t>
            </w:r>
          </w:p>
        </w:tc>
        <w:tc>
          <w:tcPr>
            <w:tcW w:w="6500" w:type="dxa"/>
            <w:vAlign w:val="center"/>
          </w:tcPr>
          <w:p>
            <w:pPr>
              <w:snapToGrid w:val="0"/>
              <w:spacing w:line="360" w:lineRule="auto"/>
              <w:ind w:firstLine="342" w:firstLineChars="163"/>
              <w:rPr>
                <w:rFonts w:ascii="宋体" w:hAnsi="宋体" w:cs="宋体"/>
                <w:kern w:val="0"/>
                <w:szCs w:val="21"/>
              </w:rPr>
            </w:pPr>
            <w:r>
              <w:rPr>
                <w:rFonts w:hint="eastAsia" w:ascii="宋体" w:hAnsi="宋体" w:cs="宋体"/>
                <w:kern w:val="0"/>
                <w:szCs w:val="21"/>
              </w:rPr>
              <w:t>1. 本工程采用综合单价包干。</w:t>
            </w:r>
          </w:p>
          <w:p>
            <w:pPr>
              <w:snapToGrid w:val="0"/>
              <w:spacing w:line="360" w:lineRule="auto"/>
              <w:ind w:firstLine="342" w:firstLineChars="163"/>
              <w:rPr>
                <w:rFonts w:ascii="宋体" w:hAnsi="宋体" w:cs="宋体"/>
                <w:kern w:val="0"/>
                <w:szCs w:val="21"/>
              </w:rPr>
            </w:pPr>
            <w:r>
              <w:rPr>
                <w:rFonts w:hint="eastAsia" w:ascii="宋体" w:hAnsi="宋体" w:cs="宋体"/>
                <w:kern w:val="0"/>
                <w:szCs w:val="21"/>
              </w:rPr>
              <w:t>2.综合单价包括但不限于本工程施工过程所需的人工费、材料费（包括材料场内外运输费、采保费、装车费、卸车费及损耗费等）、机械费（包括机械进退场及安拆费等）、工程验收所须的各种检测费、试验费及相关手续费、合同工期内的赶工费、施工水电费（包括夜间施工照明费用及分摊总线路损耗、包含发包人提供施工用电负荷不够，自行准备柴油发电机发电满足施工需要产生的费用）、技术措施费(包括冬雨季及异常气候施工措施费、本项目场地条件引起增加的措施费)、安装费、安全文明施工措施费、临时设施费、垃圾清运到发包人指定点堆放费用、管理费、利润、税金、施工风险费、施工期间内材料价格变化风险费、政府政策性调价风险费、其它风险费、保险费、和其它标段的配合费及本合同虽未提及但承包人在完成本工程至验收合格过程中必须支付的与本工程相关的其他费用。</w:t>
            </w:r>
          </w:p>
          <w:p>
            <w:pPr>
              <w:snapToGrid w:val="0"/>
              <w:spacing w:line="360" w:lineRule="auto"/>
              <w:ind w:firstLine="342" w:firstLineChars="163"/>
              <w:rPr>
                <w:rFonts w:ascii="宋体" w:hAnsi="宋体" w:cs="宋体"/>
                <w:kern w:val="0"/>
                <w:szCs w:val="21"/>
              </w:rPr>
            </w:pPr>
            <w:r>
              <w:rPr>
                <w:rFonts w:hint="eastAsia" w:ascii="宋体" w:hAnsi="宋体" w:cs="宋体"/>
                <w:kern w:val="0"/>
                <w:szCs w:val="21"/>
              </w:rPr>
              <w:t>3. 固定总价包干部分包括图纸、设计说明、清单、现行标准、合同条件、验收规范等所有内容，当以上内容出现不一致时，以高标准为准；投标单位应对招标清单及工程量内容进行复核，并在招标人规定的时间内进行核对，合同签订后若出现清单及工程量偏差均已包含在固定总价及综合单价以内。</w:t>
            </w:r>
          </w:p>
          <w:p>
            <w:pPr>
              <w:snapToGrid w:val="0"/>
              <w:spacing w:line="360" w:lineRule="auto"/>
              <w:ind w:firstLine="342" w:firstLineChars="163"/>
              <w:rPr>
                <w:rFonts w:ascii="宋体" w:hAnsi="宋体" w:cs="宋体"/>
                <w:kern w:val="0"/>
                <w:szCs w:val="21"/>
              </w:rPr>
            </w:pPr>
            <w:r>
              <w:rPr>
                <w:rFonts w:hint="eastAsia" w:ascii="宋体" w:hAnsi="宋体" w:cs="宋体"/>
                <w:kern w:val="0"/>
                <w:szCs w:val="21"/>
              </w:rPr>
              <w:t>4.其中安全文明施工费单列，安全文明施工专项费金额包干使用，按渝建发〔2014〕25号文的规定之标准实施并专项使用本费用金额，结算时不再调整。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3.3.1</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投标有效期</w:t>
            </w:r>
          </w:p>
        </w:tc>
        <w:tc>
          <w:tcPr>
            <w:tcW w:w="6500" w:type="dxa"/>
            <w:vAlign w:val="center"/>
          </w:tcPr>
          <w:p>
            <w:pPr>
              <w:snapToGrid w:val="0"/>
              <w:spacing w:line="360" w:lineRule="auto"/>
              <w:ind w:firstLine="210" w:firstLineChars="100"/>
              <w:rPr>
                <w:rFonts w:ascii="宋体" w:hAnsi="宋体" w:cs="宋体"/>
                <w:szCs w:val="21"/>
              </w:rPr>
            </w:pPr>
            <w:r>
              <w:rPr>
                <w:rFonts w:hint="eastAsia" w:ascii="宋体" w:hAnsi="宋体" w:cs="宋体"/>
                <w:szCs w:val="21"/>
                <w:u w:val="single"/>
              </w:rPr>
              <w:t xml:space="preserve">   90  </w:t>
            </w:r>
            <w:r>
              <w:rPr>
                <w:rFonts w:hint="eastAsia" w:ascii="宋体" w:hAnsi="宋体" w:cs="宋体"/>
                <w:szCs w:val="21"/>
              </w:rPr>
              <w:t>日历天（从提交投标文件截止日起计算）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3.4</w:t>
            </w:r>
          </w:p>
        </w:tc>
        <w:tc>
          <w:tcPr>
            <w:tcW w:w="1925" w:type="dxa"/>
            <w:vAlign w:val="center"/>
          </w:tcPr>
          <w:p>
            <w:pPr>
              <w:snapToGrid w:val="0"/>
              <w:spacing w:line="300" w:lineRule="auto"/>
              <w:rPr>
                <w:rFonts w:ascii="宋体" w:hAnsi="宋体" w:cs="宋体"/>
                <w:kern w:val="0"/>
                <w:szCs w:val="21"/>
              </w:rPr>
            </w:pPr>
            <w:r>
              <w:rPr>
                <w:rFonts w:hint="eastAsia" w:ascii="宋体" w:hAnsi="宋体" w:cs="宋体"/>
                <w:kern w:val="0"/>
                <w:szCs w:val="21"/>
              </w:rPr>
              <w:t>投标保证金</w:t>
            </w:r>
          </w:p>
        </w:tc>
        <w:tc>
          <w:tcPr>
            <w:tcW w:w="6500" w:type="dxa"/>
            <w:vAlign w:val="center"/>
          </w:tcPr>
          <w:p>
            <w:pPr>
              <w:snapToGrid w:val="0"/>
              <w:spacing w:before="120" w:beforeLines="50" w:line="300" w:lineRule="auto"/>
              <w:rPr>
                <w:rFonts w:ascii="宋体" w:hAnsi="宋体" w:cs="宋体"/>
                <w:kern w:val="0"/>
                <w:szCs w:val="21"/>
              </w:rPr>
            </w:pPr>
            <w:r>
              <w:rPr>
                <w:rFonts w:hint="eastAsia" w:ascii="宋体" w:hAnsi="宋体" w:cs="宋体"/>
                <w:kern w:val="0"/>
                <w:szCs w:val="21"/>
              </w:rPr>
              <w:t>一、投标保证金的交纳</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1、投标保证金交款形式及要求：投标人从企业的基本账户（开户行）</w:t>
            </w:r>
            <w:r>
              <w:rPr>
                <w:rFonts w:hint="eastAsia" w:ascii="宋体" w:hAnsi="宋体" w:cs="宋体"/>
                <w:b/>
                <w:kern w:val="0"/>
                <w:szCs w:val="21"/>
              </w:rPr>
              <w:t>在投标截止12小时前通过转账支票直接划付或以电汇方式直接划付至下面指定的投标保证金账户，否则，投标保证金无效。</w:t>
            </w:r>
            <w:r>
              <w:rPr>
                <w:rFonts w:hint="eastAsia" w:ascii="宋体" w:hAnsi="宋体" w:cs="宋体"/>
                <w:kern w:val="0"/>
                <w:szCs w:val="21"/>
              </w:rPr>
              <w:t>投标人自行考虑汇入时间风险，如同城汇入、异地汇入、跨行汇入的时间要求。</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2、投标保证金的金额：壹万 元整（人民币10000）.</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3、投标保证金账户及账号：</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户名：中机中联工程有限公司</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开户银行：中国建设银行股份有限公司重庆九龙坡石桥铺支行</w:t>
            </w:r>
          </w:p>
          <w:p>
            <w:pPr>
              <w:snapToGrid w:val="0"/>
              <w:spacing w:line="300" w:lineRule="auto"/>
              <w:ind w:firstLine="420" w:firstLineChars="200"/>
              <w:rPr>
                <w:rFonts w:ascii="宋体" w:hAnsi="宋体" w:cs="宋体"/>
                <w:kern w:val="0"/>
                <w:szCs w:val="21"/>
              </w:rPr>
            </w:pPr>
            <w:r>
              <w:rPr>
                <w:rFonts w:hint="eastAsia" w:ascii="宋体" w:hAnsi="宋体" w:cs="宋体"/>
                <w:kern w:val="0"/>
                <w:szCs w:val="21"/>
              </w:rPr>
              <w:t>银行帐号：50001045000059888888</w:t>
            </w:r>
          </w:p>
          <w:p>
            <w:pPr>
              <w:snapToGrid w:val="0"/>
              <w:spacing w:line="300" w:lineRule="auto"/>
              <w:ind w:firstLine="420" w:firstLineChars="200"/>
              <w:rPr>
                <w:rFonts w:ascii="宋体" w:hAnsi="宋体" w:cs="宋体"/>
                <w:kern w:val="0"/>
                <w:szCs w:val="21"/>
              </w:rPr>
            </w:pPr>
          </w:p>
          <w:p>
            <w:pPr>
              <w:snapToGrid w:val="0"/>
              <w:spacing w:line="300" w:lineRule="auto"/>
              <w:rPr>
                <w:rFonts w:ascii="宋体" w:hAnsi="宋体" w:cs="宋体"/>
                <w:kern w:val="0"/>
                <w:szCs w:val="21"/>
              </w:rPr>
            </w:pPr>
            <w:r>
              <w:rPr>
                <w:rFonts w:hint="eastAsia" w:ascii="宋体" w:hAnsi="宋体" w:cs="宋体"/>
                <w:kern w:val="0"/>
                <w:szCs w:val="21"/>
              </w:rPr>
              <w:t>二、投标保证金的退还</w:t>
            </w:r>
          </w:p>
          <w:p>
            <w:pPr>
              <w:snapToGrid w:val="0"/>
              <w:spacing w:before="120" w:beforeLines="50" w:line="300" w:lineRule="auto"/>
              <w:ind w:firstLine="315" w:firstLineChars="150"/>
              <w:rPr>
                <w:rFonts w:ascii="宋体" w:hAnsi="宋体" w:cs="宋体"/>
                <w:kern w:val="0"/>
                <w:szCs w:val="21"/>
              </w:rPr>
            </w:pPr>
            <w:r>
              <w:rPr>
                <w:rFonts w:hint="eastAsia" w:ascii="宋体" w:hAnsi="宋体" w:cs="宋体"/>
                <w:kern w:val="0"/>
                <w:szCs w:val="21"/>
              </w:rPr>
              <w:t>1、在确定中标人后5工作日内退还非中标人的投标保证金。</w:t>
            </w:r>
          </w:p>
          <w:p>
            <w:pPr>
              <w:snapToGrid w:val="0"/>
              <w:spacing w:before="120" w:beforeLines="50" w:line="300" w:lineRule="auto"/>
              <w:ind w:firstLine="315" w:firstLineChars="150"/>
              <w:rPr>
                <w:rFonts w:ascii="宋体" w:hAnsi="宋体" w:cs="宋体"/>
                <w:kern w:val="0"/>
                <w:szCs w:val="21"/>
              </w:rPr>
            </w:pPr>
            <w:r>
              <w:rPr>
                <w:rFonts w:hint="eastAsia" w:ascii="宋体" w:hAnsi="宋体" w:cs="宋体"/>
                <w:kern w:val="0"/>
                <w:szCs w:val="21"/>
              </w:rPr>
              <w:t>2、中标人的投标保证金在中标人与招标人签订合同并提交履约保证金后退还。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3.5</w:t>
            </w:r>
          </w:p>
        </w:tc>
        <w:tc>
          <w:tcPr>
            <w:tcW w:w="1925" w:type="dxa"/>
            <w:vAlign w:val="center"/>
          </w:tcPr>
          <w:p>
            <w:pPr>
              <w:snapToGrid w:val="0"/>
              <w:jc w:val="center"/>
              <w:rPr>
                <w:rFonts w:ascii="宋体" w:hAnsi="宋体" w:cs="宋体"/>
                <w:kern w:val="0"/>
                <w:szCs w:val="21"/>
              </w:rPr>
            </w:pPr>
            <w:r>
              <w:rPr>
                <w:rFonts w:hint="eastAsia" w:ascii="宋体" w:hAnsi="宋体" w:cs="宋体"/>
                <w:kern w:val="0"/>
                <w:szCs w:val="21"/>
              </w:rPr>
              <w:t>资格审查资料</w:t>
            </w:r>
          </w:p>
        </w:tc>
        <w:tc>
          <w:tcPr>
            <w:tcW w:w="6500" w:type="dxa"/>
            <w:vAlign w:val="center"/>
          </w:tcPr>
          <w:p>
            <w:pPr>
              <w:snapToGrid w:val="0"/>
              <w:spacing w:before="120" w:beforeLines="50"/>
              <w:rPr>
                <w:rFonts w:ascii="宋体" w:hAnsi="宋体" w:cs="宋体"/>
                <w:kern w:val="0"/>
                <w:szCs w:val="21"/>
              </w:rPr>
            </w:pPr>
            <w:r>
              <w:rPr>
                <w:rFonts w:hint="eastAsia" w:ascii="宋体" w:hAnsi="宋体" w:cs="宋体"/>
                <w:kern w:val="0"/>
                <w:szCs w:val="21"/>
              </w:rPr>
              <w:t>投标人必须按本招标文件要求提供齐全。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3.6</w:t>
            </w:r>
          </w:p>
        </w:tc>
        <w:tc>
          <w:tcPr>
            <w:tcW w:w="1925" w:type="dxa"/>
            <w:vAlign w:val="center"/>
          </w:tcPr>
          <w:p>
            <w:pPr>
              <w:snapToGrid w:val="0"/>
              <w:jc w:val="center"/>
              <w:rPr>
                <w:rFonts w:ascii="宋体" w:hAnsi="宋体" w:cs="宋体"/>
                <w:kern w:val="0"/>
                <w:szCs w:val="21"/>
              </w:rPr>
            </w:pPr>
            <w:r>
              <w:rPr>
                <w:rFonts w:hint="eastAsia" w:ascii="宋体" w:hAnsi="宋体" w:cs="宋体"/>
                <w:kern w:val="0"/>
                <w:szCs w:val="21"/>
              </w:rPr>
              <w:t>是否允许递交备选投标方案</w:t>
            </w:r>
          </w:p>
        </w:tc>
        <w:tc>
          <w:tcPr>
            <w:tcW w:w="6500" w:type="dxa"/>
            <w:vAlign w:val="center"/>
          </w:tcPr>
          <w:p>
            <w:pPr>
              <w:snapToGrid w:val="0"/>
              <w:rPr>
                <w:rFonts w:ascii="宋体" w:hAnsi="宋体" w:cs="宋体"/>
                <w:kern w:val="0"/>
                <w:szCs w:val="21"/>
              </w:rPr>
            </w:pPr>
            <w:r>
              <w:rPr>
                <w:rFonts w:hint="eastAsia" w:ascii="宋体" w:hAnsi="宋体" w:cs="宋体"/>
                <w:kern w:val="0"/>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3.7.3</w:t>
            </w:r>
          </w:p>
        </w:tc>
        <w:tc>
          <w:tcPr>
            <w:tcW w:w="1925" w:type="dxa"/>
            <w:vAlign w:val="center"/>
          </w:tcPr>
          <w:p>
            <w:pPr>
              <w:snapToGrid w:val="0"/>
              <w:jc w:val="center"/>
              <w:rPr>
                <w:rFonts w:ascii="宋体" w:hAnsi="宋体" w:cs="宋体"/>
                <w:kern w:val="0"/>
                <w:szCs w:val="21"/>
              </w:rPr>
            </w:pPr>
            <w:r>
              <w:rPr>
                <w:rFonts w:hint="eastAsia" w:ascii="宋体" w:hAnsi="宋体" w:cs="宋体"/>
                <w:kern w:val="0"/>
                <w:szCs w:val="21"/>
              </w:rPr>
              <w:t>签字盖章要求</w:t>
            </w:r>
          </w:p>
        </w:tc>
        <w:tc>
          <w:tcPr>
            <w:tcW w:w="6500" w:type="dxa"/>
            <w:vAlign w:val="center"/>
          </w:tcPr>
          <w:p>
            <w:pPr>
              <w:snapToGrid w:val="0"/>
              <w:spacing w:before="120" w:beforeLines="50"/>
              <w:rPr>
                <w:rFonts w:ascii="宋体" w:hAnsi="宋体" w:cs="宋体"/>
                <w:szCs w:val="21"/>
              </w:rPr>
            </w:pPr>
            <w:r>
              <w:rPr>
                <w:rFonts w:hint="eastAsia" w:ascii="宋体" w:hAnsi="宋体" w:cs="宋体"/>
                <w:szCs w:val="21"/>
              </w:rPr>
              <w:t>按本章投标人须知3.7.3款执行。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094" w:type="dxa"/>
            <w:vAlign w:val="center"/>
          </w:tcPr>
          <w:p>
            <w:pPr>
              <w:snapToGrid w:val="0"/>
              <w:jc w:val="center"/>
              <w:rPr>
                <w:rFonts w:ascii="宋体" w:hAnsi="宋体" w:cs="宋体"/>
                <w:kern w:val="0"/>
                <w:szCs w:val="21"/>
              </w:rPr>
            </w:pPr>
            <w:r>
              <w:rPr>
                <w:rFonts w:hint="eastAsia" w:ascii="宋体" w:hAnsi="宋体" w:cs="宋体"/>
                <w:kern w:val="0"/>
                <w:szCs w:val="21"/>
              </w:rPr>
              <w:t>3.7.4</w:t>
            </w:r>
          </w:p>
        </w:tc>
        <w:tc>
          <w:tcPr>
            <w:tcW w:w="1925" w:type="dxa"/>
            <w:vAlign w:val="center"/>
          </w:tcPr>
          <w:p>
            <w:pPr>
              <w:snapToGrid w:val="0"/>
              <w:jc w:val="center"/>
              <w:rPr>
                <w:rFonts w:ascii="宋体" w:hAnsi="宋体" w:cs="宋体"/>
                <w:kern w:val="0"/>
                <w:szCs w:val="21"/>
              </w:rPr>
            </w:pPr>
            <w:r>
              <w:rPr>
                <w:rFonts w:hint="eastAsia" w:ascii="宋体" w:hAnsi="宋体" w:cs="宋体"/>
                <w:kern w:val="0"/>
                <w:szCs w:val="21"/>
              </w:rPr>
              <w:t>投标文件的份数</w:t>
            </w:r>
          </w:p>
        </w:tc>
        <w:tc>
          <w:tcPr>
            <w:tcW w:w="6500" w:type="dxa"/>
            <w:vAlign w:val="center"/>
          </w:tcPr>
          <w:p>
            <w:pPr>
              <w:autoSpaceDE w:val="0"/>
              <w:autoSpaceDN w:val="0"/>
              <w:adjustRightInd w:val="0"/>
              <w:snapToGrid w:val="0"/>
              <w:jc w:val="left"/>
              <w:rPr>
                <w:rFonts w:ascii="宋体" w:hAnsi="宋体" w:cs="宋体"/>
                <w:kern w:val="0"/>
                <w:szCs w:val="21"/>
              </w:rPr>
            </w:pPr>
            <w:r>
              <w:rPr>
                <w:rFonts w:hint="eastAsia" w:ascii="宋体" w:hAnsi="宋体" w:cs="宋体"/>
                <w:kern w:val="0"/>
                <w:szCs w:val="21"/>
              </w:rPr>
              <w:t>投标文件正本壹份，副本贰份。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tcBorders>
              <w:bottom w:val="single" w:color="auto" w:sz="4" w:space="0"/>
            </w:tcBorders>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3.7.5</w:t>
            </w:r>
          </w:p>
        </w:tc>
        <w:tc>
          <w:tcPr>
            <w:tcW w:w="1925" w:type="dxa"/>
            <w:tcBorders>
              <w:bottom w:val="single" w:color="auto" w:sz="4" w:space="0"/>
            </w:tcBorders>
            <w:vAlign w:val="center"/>
          </w:tcPr>
          <w:p>
            <w:pPr>
              <w:snapToGrid w:val="0"/>
              <w:spacing w:line="288" w:lineRule="auto"/>
              <w:rPr>
                <w:rFonts w:ascii="宋体" w:hAnsi="宋体" w:cs="宋体"/>
                <w:kern w:val="0"/>
                <w:szCs w:val="21"/>
              </w:rPr>
            </w:pPr>
            <w:r>
              <w:rPr>
                <w:rFonts w:hint="eastAsia" w:ascii="宋体" w:hAnsi="宋体" w:cs="宋体"/>
                <w:kern w:val="0"/>
                <w:szCs w:val="21"/>
              </w:rPr>
              <w:t>装订要求</w:t>
            </w:r>
          </w:p>
        </w:tc>
        <w:tc>
          <w:tcPr>
            <w:tcW w:w="6500" w:type="dxa"/>
            <w:tcBorders>
              <w:bottom w:val="single" w:color="auto" w:sz="4" w:space="0"/>
            </w:tcBorders>
            <w:vAlign w:val="center"/>
          </w:tcPr>
          <w:p>
            <w:pPr>
              <w:adjustRightInd w:val="0"/>
              <w:snapToGrid w:val="0"/>
              <w:spacing w:line="360" w:lineRule="auto"/>
              <w:ind w:firstLine="420" w:firstLineChars="200"/>
              <w:rPr>
                <w:rFonts w:ascii="宋体" w:hAnsi="宋体" w:cs="宋体"/>
                <w:szCs w:val="21"/>
              </w:rPr>
            </w:pPr>
            <w:r>
              <w:rPr>
                <w:rFonts w:hint="eastAsia" w:ascii="宋体" w:hAnsi="宋体" w:cs="宋体"/>
                <w:szCs w:val="21"/>
              </w:rPr>
              <w:t>1、本工程应将投标函部分（含已标价工程量清单、资格审查资料）</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2、装订</w:t>
            </w:r>
          </w:p>
          <w:p>
            <w:pPr>
              <w:adjustRightInd w:val="0"/>
              <w:snapToGrid w:val="0"/>
              <w:spacing w:line="360" w:lineRule="auto"/>
              <w:ind w:firstLine="315" w:firstLineChars="150"/>
              <w:rPr>
                <w:rFonts w:ascii="宋体" w:hAnsi="宋体" w:cs="宋体"/>
                <w:szCs w:val="21"/>
              </w:rPr>
            </w:pPr>
            <w:r>
              <w:rPr>
                <w:rFonts w:hint="eastAsia" w:ascii="宋体" w:hAnsi="宋体" w:cs="宋体"/>
                <w:szCs w:val="21"/>
              </w:rPr>
              <w:t>（1）投标函部分的装订要求</w:t>
            </w:r>
          </w:p>
          <w:p>
            <w:pPr>
              <w:adjustRightInd w:val="0"/>
              <w:snapToGrid w:val="0"/>
              <w:spacing w:line="360" w:lineRule="auto"/>
              <w:ind w:firstLine="840" w:firstLineChars="400"/>
              <w:rPr>
                <w:rFonts w:ascii="宋体" w:hAnsi="宋体" w:cs="宋体"/>
                <w:szCs w:val="21"/>
              </w:rPr>
            </w:pPr>
            <w:r>
              <w:rPr>
                <w:rFonts w:hint="eastAsia" w:ascii="宋体" w:hAnsi="宋体" w:cs="宋体"/>
                <w:szCs w:val="21"/>
              </w:rPr>
              <w:t>应按照第六章规定格式装订成册。</w:t>
            </w:r>
          </w:p>
          <w:p>
            <w:pPr>
              <w:adjustRightInd w:val="0"/>
              <w:snapToGrid w:val="0"/>
              <w:spacing w:line="360" w:lineRule="auto"/>
              <w:ind w:firstLine="315" w:firstLineChars="150"/>
              <w:rPr>
                <w:rFonts w:ascii="宋体" w:hAnsi="宋体" w:cs="宋体"/>
                <w:kern w:val="0"/>
                <w:szCs w:val="21"/>
              </w:rPr>
            </w:pPr>
            <w:r>
              <w:rPr>
                <w:rFonts w:hint="eastAsia" w:ascii="宋体" w:hAnsi="宋体" w:cs="宋体"/>
                <w:szCs w:val="21"/>
              </w:rPr>
              <w:t>（2）</w:t>
            </w:r>
            <w:r>
              <w:rPr>
                <w:rFonts w:hint="eastAsia" w:ascii="宋体" w:hAnsi="宋体" w:cs="宋体"/>
                <w:kern w:val="0"/>
                <w:szCs w:val="21"/>
              </w:rPr>
              <w:t>资格审查资料的装订要求</w:t>
            </w:r>
          </w:p>
          <w:p>
            <w:pPr>
              <w:adjustRightInd w:val="0"/>
              <w:snapToGrid w:val="0"/>
              <w:spacing w:line="360" w:lineRule="auto"/>
              <w:ind w:firstLine="840" w:firstLineChars="400"/>
              <w:rPr>
                <w:rFonts w:ascii="宋体" w:hAnsi="宋体" w:cs="宋体"/>
                <w:szCs w:val="21"/>
              </w:rPr>
            </w:pPr>
            <w:r>
              <w:rPr>
                <w:rFonts w:hint="eastAsia" w:ascii="宋体" w:hAnsi="宋体" w:cs="宋体"/>
                <w:szCs w:val="21"/>
              </w:rPr>
              <w:t>应按照第六章规定格式装订成册。</w:t>
            </w:r>
          </w:p>
          <w:p>
            <w:pPr>
              <w:adjustRightInd w:val="0"/>
              <w:snapToGrid w:val="0"/>
              <w:spacing w:line="360" w:lineRule="auto"/>
              <w:ind w:firstLine="315" w:firstLineChars="150"/>
              <w:rPr>
                <w:rFonts w:ascii="宋体" w:hAnsi="宋体" w:cs="宋体"/>
                <w:szCs w:val="21"/>
              </w:rPr>
            </w:pPr>
            <w:r>
              <w:rPr>
                <w:rFonts w:hint="eastAsia" w:ascii="宋体" w:hAnsi="宋体" w:cs="宋体"/>
                <w:szCs w:val="21"/>
                <w:highlight w:val="yellow"/>
              </w:rPr>
              <w:t>（3）提供U盘（或光盘）一个,内容包括已标价工程量清单和技术部分（与纸质版相同），注明投标人名称。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ind w:firstLine="210" w:firstLineChars="100"/>
              <w:rPr>
                <w:rFonts w:ascii="宋体" w:hAnsi="宋体" w:cs="宋体"/>
                <w:kern w:val="0"/>
                <w:szCs w:val="21"/>
              </w:rPr>
            </w:pPr>
            <w:r>
              <w:rPr>
                <w:rFonts w:hint="eastAsia" w:ascii="宋体" w:hAnsi="宋体" w:cs="宋体"/>
                <w:kern w:val="0"/>
                <w:szCs w:val="21"/>
              </w:rPr>
              <w:t>4.1.1</w:t>
            </w:r>
          </w:p>
        </w:tc>
        <w:tc>
          <w:tcPr>
            <w:tcW w:w="1925" w:type="dxa"/>
            <w:vAlign w:val="center"/>
          </w:tcPr>
          <w:p>
            <w:pPr>
              <w:snapToGrid w:val="0"/>
              <w:spacing w:line="300" w:lineRule="auto"/>
              <w:rPr>
                <w:rFonts w:ascii="宋体" w:hAnsi="宋体" w:cs="宋体"/>
                <w:kern w:val="0"/>
                <w:szCs w:val="21"/>
              </w:rPr>
            </w:pPr>
            <w:r>
              <w:rPr>
                <w:rFonts w:hint="eastAsia" w:ascii="宋体" w:hAnsi="宋体" w:cs="宋体"/>
                <w:kern w:val="0"/>
                <w:szCs w:val="21"/>
              </w:rPr>
              <w:t>投标文件的密封</w:t>
            </w:r>
          </w:p>
        </w:tc>
        <w:tc>
          <w:tcPr>
            <w:tcW w:w="6500" w:type="dxa"/>
            <w:vAlign w:val="center"/>
          </w:tcPr>
          <w:p>
            <w:pPr>
              <w:adjustRightInd w:val="0"/>
              <w:snapToGrid w:val="0"/>
              <w:spacing w:before="120" w:line="360" w:lineRule="auto"/>
              <w:ind w:firstLine="420" w:firstLineChars="200"/>
              <w:rPr>
                <w:rFonts w:ascii="宋体" w:hAnsi="宋体" w:cs="宋体"/>
                <w:szCs w:val="21"/>
              </w:rPr>
            </w:pPr>
            <w:r>
              <w:rPr>
                <w:rFonts w:hint="eastAsia" w:ascii="宋体" w:hAnsi="宋体" w:cs="宋体"/>
                <w:szCs w:val="21"/>
              </w:rPr>
              <w:t>1.“投标函部分”、“U盘或光盘”等装入“投标文件”袋中，密封并在袋上加盖投标人单位章，同时“投标文件袋”应按本表第4.1.2项的规定写明相应内容。</w:t>
            </w:r>
          </w:p>
          <w:p>
            <w:pPr>
              <w:adjustRightInd w:val="0"/>
              <w:snapToGrid w:val="0"/>
              <w:spacing w:before="120" w:line="360" w:lineRule="auto"/>
              <w:ind w:firstLine="420" w:firstLineChars="200"/>
              <w:rPr>
                <w:rFonts w:ascii="宋体" w:hAnsi="宋体" w:cs="宋体"/>
                <w:szCs w:val="21"/>
              </w:rPr>
            </w:pPr>
            <w:r>
              <w:rPr>
                <w:rFonts w:hint="eastAsia" w:ascii="宋体" w:hAnsi="宋体" w:cs="宋体"/>
                <w:szCs w:val="21"/>
              </w:rPr>
              <w:t>2.如果投标文件没有按上述规定密封，该投标文件将被拒绝接收。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0" w:hRule="atLeast"/>
        </w:trPr>
        <w:tc>
          <w:tcPr>
            <w:tcW w:w="1094" w:type="dxa"/>
            <w:vAlign w:val="center"/>
          </w:tcPr>
          <w:p>
            <w:pPr>
              <w:rPr>
                <w:rFonts w:ascii="宋体" w:hAnsi="宋体" w:cs="宋体"/>
                <w:kern w:val="0"/>
                <w:szCs w:val="21"/>
              </w:rPr>
            </w:pPr>
            <w:r>
              <w:rPr>
                <w:rFonts w:hint="eastAsia" w:ascii="宋体" w:hAnsi="宋体" w:cs="宋体"/>
                <w:kern w:val="0"/>
                <w:szCs w:val="21"/>
              </w:rPr>
              <w:t>4.1.2</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封套上写明</w:t>
            </w:r>
          </w:p>
        </w:tc>
        <w:tc>
          <w:tcPr>
            <w:tcW w:w="6500" w:type="dxa"/>
            <w:vAlign w:val="center"/>
          </w:tcPr>
          <w:p>
            <w:pPr>
              <w:snapToGrid w:val="0"/>
              <w:spacing w:line="300" w:lineRule="auto"/>
              <w:rPr>
                <w:rFonts w:ascii="宋体" w:hAnsi="宋体" w:cs="宋体"/>
                <w:kern w:val="0"/>
                <w:szCs w:val="21"/>
              </w:rPr>
            </w:pPr>
            <w:r>
              <w:rPr>
                <w:rFonts w:hint="eastAsia" w:ascii="宋体" w:hAnsi="宋体" w:cs="宋体"/>
                <w:kern w:val="0"/>
                <w:szCs w:val="21"/>
              </w:rPr>
              <w:t>应在“投标文件”袋封套上写明如下内容：</w:t>
            </w:r>
          </w:p>
          <w:p>
            <w:pPr>
              <w:snapToGrid w:val="0"/>
              <w:spacing w:line="300" w:lineRule="auto"/>
              <w:rPr>
                <w:rFonts w:ascii="宋体" w:hAnsi="宋体" w:cs="宋体"/>
                <w:kern w:val="0"/>
                <w:szCs w:val="21"/>
              </w:rPr>
            </w:pPr>
            <w:r>
              <w:rPr>
                <w:rFonts w:hint="eastAsia" w:ascii="宋体" w:hAnsi="宋体" w:cs="宋体"/>
                <w:kern w:val="0"/>
                <w:szCs w:val="21"/>
              </w:rPr>
              <w:t>招标人的地址：重庆市九龙坡区渝州路17号</w:t>
            </w:r>
          </w:p>
          <w:p>
            <w:pPr>
              <w:snapToGrid w:val="0"/>
              <w:spacing w:line="300" w:lineRule="auto"/>
              <w:rPr>
                <w:rFonts w:ascii="宋体" w:hAnsi="宋体" w:cs="宋体"/>
                <w:kern w:val="0"/>
                <w:szCs w:val="21"/>
              </w:rPr>
            </w:pPr>
            <w:r>
              <w:rPr>
                <w:rFonts w:hint="eastAsia" w:ascii="宋体" w:hAnsi="宋体" w:cs="宋体"/>
                <w:kern w:val="0"/>
                <w:szCs w:val="21"/>
              </w:rPr>
              <w:t>招标人名称：中机中联工程有限公司</w:t>
            </w:r>
          </w:p>
          <w:p>
            <w:pPr>
              <w:snapToGrid w:val="0"/>
              <w:spacing w:line="300" w:lineRule="auto"/>
              <w:rPr>
                <w:rFonts w:ascii="宋体" w:hAnsi="宋体" w:cs="宋体"/>
                <w:kern w:val="0"/>
                <w:szCs w:val="21"/>
              </w:rPr>
            </w:pPr>
            <w:r>
              <w:rPr>
                <w:rFonts w:hint="eastAsia" w:ascii="宋体" w:hAnsi="宋体" w:cs="宋体"/>
                <w:szCs w:val="21"/>
                <w:u w:val="single"/>
              </w:rPr>
              <w:t>安博重庆空港物流中心项目II期工程-栏杆及楼梯采购</w:t>
            </w:r>
            <w:r>
              <w:rPr>
                <w:rFonts w:hint="eastAsia" w:ascii="宋体" w:hAnsi="宋体" w:cs="宋体"/>
                <w:kern w:val="0"/>
                <w:szCs w:val="21"/>
              </w:rPr>
              <w:t>投标文件</w:t>
            </w:r>
          </w:p>
          <w:p>
            <w:pPr>
              <w:snapToGrid w:val="0"/>
              <w:spacing w:line="300" w:lineRule="auto"/>
              <w:rPr>
                <w:rFonts w:ascii="宋体" w:hAnsi="宋体" w:cs="宋体"/>
                <w:kern w:val="0"/>
                <w:szCs w:val="21"/>
              </w:rPr>
            </w:pPr>
            <w:r>
              <w:rPr>
                <w:rFonts w:hint="eastAsia" w:ascii="宋体" w:hAnsi="宋体" w:cs="宋体"/>
                <w:kern w:val="0"/>
                <w:szCs w:val="21"/>
              </w:rPr>
              <w:t>在</w:t>
            </w:r>
            <w:r>
              <w:rPr>
                <w:rFonts w:hint="eastAsia" w:ascii="宋体" w:hAnsi="宋体" w:cs="宋体"/>
                <w:kern w:val="0"/>
                <w:szCs w:val="21"/>
                <w:u w:val="single"/>
              </w:rPr>
              <w:t xml:space="preserve">  2019</w:t>
            </w:r>
            <w:r>
              <w:rPr>
                <w:rFonts w:hint="eastAsia" w:ascii="宋体" w:hAnsi="宋体" w:cs="宋体"/>
                <w:kern w:val="0"/>
                <w:szCs w:val="21"/>
              </w:rPr>
              <w:t>年</w:t>
            </w:r>
            <w:r>
              <w:rPr>
                <w:rFonts w:hint="eastAsia" w:ascii="宋体" w:hAnsi="宋体" w:cs="宋体"/>
                <w:kern w:val="0"/>
                <w:szCs w:val="21"/>
                <w:u w:val="single"/>
              </w:rPr>
              <w:t xml:space="preserve"> 3 </w:t>
            </w:r>
            <w:r>
              <w:rPr>
                <w:rFonts w:hint="eastAsia" w:ascii="宋体" w:hAnsi="宋体" w:cs="宋体"/>
                <w:kern w:val="0"/>
                <w:szCs w:val="21"/>
              </w:rPr>
              <w:t>月</w:t>
            </w:r>
            <w:r>
              <w:rPr>
                <w:rFonts w:hint="eastAsia" w:ascii="宋体" w:hAnsi="宋体" w:cs="宋体"/>
                <w:kern w:val="0"/>
                <w:szCs w:val="21"/>
                <w:u w:val="single"/>
              </w:rPr>
              <w:t xml:space="preserve"> 4  </w:t>
            </w:r>
            <w:r>
              <w:rPr>
                <w:rFonts w:hint="eastAsia" w:ascii="宋体" w:hAnsi="宋体" w:cs="宋体"/>
                <w:kern w:val="0"/>
                <w:szCs w:val="21"/>
              </w:rPr>
              <w:t>日</w:t>
            </w:r>
            <w:r>
              <w:rPr>
                <w:rFonts w:hint="eastAsia" w:ascii="宋体" w:hAnsi="宋体" w:cs="宋体"/>
                <w:kern w:val="0"/>
                <w:szCs w:val="21"/>
                <w:u w:val="single"/>
              </w:rPr>
              <w:t xml:space="preserve">  15 </w:t>
            </w:r>
            <w:r>
              <w:rPr>
                <w:rFonts w:hint="eastAsia" w:ascii="宋体" w:hAnsi="宋体" w:cs="宋体"/>
                <w:kern w:val="0"/>
                <w:szCs w:val="21"/>
              </w:rPr>
              <w:t>时</w:t>
            </w:r>
            <w:r>
              <w:rPr>
                <w:rFonts w:hint="eastAsia" w:ascii="宋体" w:hAnsi="宋体" w:cs="宋体"/>
                <w:kern w:val="0"/>
                <w:szCs w:val="21"/>
                <w:u w:val="single"/>
              </w:rPr>
              <w:t xml:space="preserve"> 30  </w:t>
            </w:r>
            <w:r>
              <w:rPr>
                <w:rFonts w:hint="eastAsia" w:ascii="宋体" w:hAnsi="宋体" w:cs="宋体"/>
                <w:kern w:val="0"/>
                <w:szCs w:val="21"/>
              </w:rPr>
              <w:t>分前不得开启</w:t>
            </w:r>
          </w:p>
          <w:p>
            <w:pPr>
              <w:snapToGrid w:val="0"/>
              <w:spacing w:line="300" w:lineRule="auto"/>
              <w:rPr>
                <w:rFonts w:ascii="宋体" w:hAnsi="宋体" w:cs="宋体"/>
                <w:szCs w:val="21"/>
                <w:u w:val="single"/>
              </w:rPr>
            </w:pPr>
            <w:r>
              <w:rPr>
                <w:rFonts w:hint="eastAsia" w:ascii="宋体" w:hAnsi="宋体" w:cs="宋体"/>
                <w:kern w:val="0"/>
                <w:szCs w:val="21"/>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4.2.2</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递交投标文件</w:t>
            </w:r>
          </w:p>
          <w:p>
            <w:pPr>
              <w:snapToGrid w:val="0"/>
              <w:spacing w:line="300" w:lineRule="auto"/>
              <w:jc w:val="center"/>
              <w:rPr>
                <w:rFonts w:ascii="宋体" w:hAnsi="宋体" w:cs="宋体"/>
                <w:kern w:val="0"/>
                <w:szCs w:val="21"/>
              </w:rPr>
            </w:pPr>
            <w:r>
              <w:rPr>
                <w:rFonts w:hint="eastAsia" w:ascii="宋体" w:hAnsi="宋体" w:cs="宋体"/>
                <w:kern w:val="0"/>
                <w:szCs w:val="21"/>
              </w:rPr>
              <w:t>地点</w:t>
            </w:r>
          </w:p>
        </w:tc>
        <w:tc>
          <w:tcPr>
            <w:tcW w:w="6500" w:type="dxa"/>
            <w:vAlign w:val="center"/>
          </w:tcPr>
          <w:p>
            <w:pPr>
              <w:snapToGrid w:val="0"/>
              <w:spacing w:line="300" w:lineRule="auto"/>
              <w:rPr>
                <w:rFonts w:ascii="宋体" w:hAnsi="宋体" w:cs="宋体"/>
                <w:szCs w:val="21"/>
              </w:rPr>
            </w:pPr>
            <w:r>
              <w:rPr>
                <w:rFonts w:hint="eastAsia" w:ascii="宋体" w:hAnsi="宋体" w:cs="宋体"/>
                <w:kern w:val="0"/>
                <w:szCs w:val="21"/>
              </w:rPr>
              <w:t>中机中联工程有限公司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4.2.3</w:t>
            </w:r>
          </w:p>
        </w:tc>
        <w:tc>
          <w:tcPr>
            <w:tcW w:w="1925" w:type="dxa"/>
            <w:vAlign w:val="center"/>
          </w:tcPr>
          <w:p>
            <w:pPr>
              <w:snapToGrid w:val="0"/>
              <w:spacing w:line="300" w:lineRule="auto"/>
              <w:jc w:val="center"/>
              <w:rPr>
                <w:rFonts w:ascii="宋体" w:hAnsi="宋体" w:cs="宋体"/>
                <w:kern w:val="0"/>
                <w:szCs w:val="21"/>
              </w:rPr>
            </w:pPr>
            <w:r>
              <w:rPr>
                <w:rFonts w:hint="eastAsia" w:ascii="宋体" w:hAnsi="宋体" w:cs="宋体"/>
                <w:kern w:val="0"/>
                <w:szCs w:val="21"/>
              </w:rPr>
              <w:t>是否退还投标</w:t>
            </w:r>
          </w:p>
          <w:p>
            <w:pPr>
              <w:snapToGrid w:val="0"/>
              <w:spacing w:line="300" w:lineRule="auto"/>
              <w:jc w:val="center"/>
              <w:rPr>
                <w:rFonts w:ascii="宋体" w:hAnsi="宋体" w:cs="宋体"/>
                <w:kern w:val="0"/>
                <w:szCs w:val="21"/>
              </w:rPr>
            </w:pPr>
            <w:r>
              <w:rPr>
                <w:rFonts w:hint="eastAsia" w:ascii="宋体" w:hAnsi="宋体" w:cs="宋体"/>
                <w:kern w:val="0"/>
                <w:szCs w:val="21"/>
              </w:rPr>
              <w:t>文件</w:t>
            </w:r>
          </w:p>
        </w:tc>
        <w:tc>
          <w:tcPr>
            <w:tcW w:w="6500" w:type="dxa"/>
            <w:vAlign w:val="center"/>
          </w:tcPr>
          <w:p>
            <w:pPr>
              <w:snapToGrid w:val="0"/>
              <w:spacing w:line="300" w:lineRule="auto"/>
              <w:rPr>
                <w:rFonts w:ascii="宋体" w:hAnsi="宋体" w:cs="宋体"/>
                <w:kern w:val="0"/>
                <w:szCs w:val="21"/>
              </w:rPr>
            </w:pPr>
            <w:r>
              <w:rPr>
                <w:rFonts w:hint="eastAsia" w:ascii="宋体" w:hAnsi="宋体"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1094"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5.1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开标时间和地点</w:t>
            </w:r>
          </w:p>
        </w:tc>
        <w:tc>
          <w:tcPr>
            <w:tcW w:w="6500" w:type="dxa"/>
            <w:vAlign w:val="center"/>
          </w:tcPr>
          <w:p>
            <w:pPr>
              <w:snapToGrid w:val="0"/>
              <w:spacing w:line="360" w:lineRule="auto"/>
              <w:rPr>
                <w:rFonts w:ascii="宋体" w:hAnsi="宋体" w:cs="宋体"/>
                <w:kern w:val="0"/>
                <w:szCs w:val="21"/>
              </w:rPr>
            </w:pPr>
            <w:r>
              <w:rPr>
                <w:rFonts w:hint="eastAsia" w:ascii="宋体" w:hAnsi="宋体" w:cs="宋体"/>
                <w:kern w:val="0"/>
                <w:szCs w:val="21"/>
              </w:rPr>
              <w:t>开标时间：招标人自定。</w:t>
            </w:r>
          </w:p>
          <w:p>
            <w:pPr>
              <w:snapToGrid w:val="0"/>
              <w:spacing w:line="360" w:lineRule="auto"/>
              <w:rPr>
                <w:rFonts w:ascii="宋体" w:hAnsi="宋体" w:cs="宋体"/>
                <w:kern w:val="0"/>
                <w:szCs w:val="21"/>
                <w:u w:val="single"/>
              </w:rPr>
            </w:pPr>
            <w:r>
              <w:rPr>
                <w:rFonts w:hint="eastAsia" w:ascii="宋体" w:hAnsi="宋体" w:cs="宋体"/>
                <w:kern w:val="0"/>
                <w:szCs w:val="21"/>
              </w:rPr>
              <w:t>开标地点：中机中联工程有限公司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60" w:lineRule="auto"/>
              <w:jc w:val="center"/>
              <w:rPr>
                <w:rFonts w:ascii="宋体" w:hAnsi="宋体" w:cs="宋体"/>
                <w:szCs w:val="21"/>
              </w:rPr>
            </w:pPr>
            <w:r>
              <w:rPr>
                <w:rFonts w:hint="eastAsia" w:ascii="宋体" w:hAnsi="宋体" w:cs="宋体"/>
                <w:szCs w:val="21"/>
              </w:rPr>
              <w:t>5.2</w:t>
            </w:r>
          </w:p>
        </w:tc>
        <w:tc>
          <w:tcPr>
            <w:tcW w:w="1925" w:type="dxa"/>
            <w:vAlign w:val="center"/>
          </w:tcPr>
          <w:p>
            <w:pPr>
              <w:snapToGrid w:val="0"/>
              <w:spacing w:line="360" w:lineRule="auto"/>
              <w:jc w:val="center"/>
              <w:rPr>
                <w:rFonts w:ascii="宋体" w:hAnsi="宋体" w:cs="宋体"/>
                <w:szCs w:val="21"/>
              </w:rPr>
            </w:pPr>
            <w:r>
              <w:rPr>
                <w:rFonts w:hint="eastAsia" w:ascii="宋体" w:hAnsi="宋体" w:cs="宋体"/>
                <w:szCs w:val="21"/>
              </w:rPr>
              <w:t>开标程序</w:t>
            </w:r>
          </w:p>
        </w:tc>
        <w:tc>
          <w:tcPr>
            <w:tcW w:w="6500" w:type="dxa"/>
            <w:vAlign w:val="center"/>
          </w:tcPr>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主持人按下列程序进行开标：</w:t>
            </w:r>
          </w:p>
          <w:p>
            <w:pPr>
              <w:autoSpaceDE w:val="0"/>
              <w:autoSpaceDN w:val="0"/>
              <w:adjustRightInd w:val="0"/>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 宣布开标纪律；</w:t>
            </w:r>
          </w:p>
          <w:p>
            <w:pPr>
              <w:autoSpaceDE w:val="0"/>
              <w:autoSpaceDN w:val="0"/>
              <w:adjustRightInd w:val="0"/>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 宣布开标人、唱标人、记录人、监标人等有关人员姓名；</w:t>
            </w:r>
          </w:p>
          <w:p>
            <w:pPr>
              <w:autoSpaceDE w:val="0"/>
              <w:autoSpaceDN w:val="0"/>
              <w:adjustRightInd w:val="0"/>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 公布在投标截止时间前递交投标文件的投标人名称；</w:t>
            </w:r>
          </w:p>
          <w:p>
            <w:pPr>
              <w:widowControl/>
              <w:spacing w:line="360" w:lineRule="auto"/>
              <w:ind w:firstLine="420" w:firstLineChars="200"/>
              <w:rPr>
                <w:rFonts w:ascii="宋体" w:hAnsi="宋体" w:cs="宋体"/>
                <w:kern w:val="0"/>
                <w:szCs w:val="21"/>
              </w:rPr>
            </w:pPr>
            <w:r>
              <w:rPr>
                <w:rFonts w:hint="eastAsia" w:ascii="宋体" w:hAnsi="宋体" w:cs="宋体"/>
                <w:kern w:val="0"/>
                <w:szCs w:val="21"/>
              </w:rPr>
              <w:t>4. 展示投标保证金缴款情况，未在规定时间将投标保证金打入指定账户的，作废标处理。</w:t>
            </w:r>
          </w:p>
          <w:p>
            <w:pPr>
              <w:snapToGrid w:val="0"/>
              <w:spacing w:line="360" w:lineRule="auto"/>
              <w:ind w:left="44" w:leftChars="21" w:firstLine="420" w:firstLineChars="200"/>
              <w:rPr>
                <w:rFonts w:ascii="宋体" w:hAnsi="宋体" w:cs="宋体"/>
                <w:kern w:val="0"/>
                <w:szCs w:val="21"/>
              </w:rPr>
            </w:pPr>
            <w:r>
              <w:rPr>
                <w:rFonts w:hint="eastAsia" w:ascii="宋体" w:hAnsi="宋体" w:cs="宋体"/>
                <w:kern w:val="0"/>
                <w:szCs w:val="21"/>
              </w:rPr>
              <w:t>5. 密封情况检查：开标人员检查投标文件的密封情况并确认。</w:t>
            </w:r>
          </w:p>
          <w:p>
            <w:pPr>
              <w:snapToGrid w:val="0"/>
              <w:spacing w:line="360" w:lineRule="auto"/>
              <w:ind w:left="44" w:leftChars="21" w:firstLine="420" w:firstLineChars="200"/>
              <w:rPr>
                <w:rFonts w:ascii="宋体" w:hAnsi="宋体" w:cs="宋体"/>
                <w:kern w:val="0"/>
                <w:szCs w:val="21"/>
              </w:rPr>
            </w:pPr>
            <w:r>
              <w:rPr>
                <w:rFonts w:hint="eastAsia" w:ascii="宋体" w:hAnsi="宋体" w:cs="宋体"/>
                <w:kern w:val="0"/>
                <w:szCs w:val="21"/>
              </w:rPr>
              <w:t>6. 设有最高限价或者标底的，公布最高限价或者标底；</w:t>
            </w:r>
          </w:p>
          <w:p>
            <w:pPr>
              <w:snapToGrid w:val="0"/>
              <w:spacing w:line="360" w:lineRule="auto"/>
              <w:ind w:left="44" w:leftChars="21" w:firstLine="420" w:firstLineChars="200"/>
              <w:rPr>
                <w:rFonts w:ascii="宋体" w:hAnsi="宋体" w:cs="宋体"/>
                <w:kern w:val="0"/>
                <w:szCs w:val="21"/>
              </w:rPr>
            </w:pPr>
            <w:r>
              <w:rPr>
                <w:rFonts w:hint="eastAsia" w:ascii="宋体" w:hAnsi="宋体" w:cs="宋体"/>
                <w:kern w:val="0"/>
                <w:szCs w:val="21"/>
              </w:rPr>
              <w:t>7. 开启投标文件顺序：随机开启；</w:t>
            </w:r>
          </w:p>
          <w:p>
            <w:pPr>
              <w:snapToGrid w:val="0"/>
              <w:spacing w:line="360" w:lineRule="auto"/>
              <w:ind w:left="44" w:leftChars="21" w:firstLine="420" w:firstLineChars="200"/>
              <w:rPr>
                <w:rFonts w:ascii="宋体" w:hAnsi="宋体" w:cs="宋体"/>
                <w:kern w:val="0"/>
                <w:szCs w:val="21"/>
              </w:rPr>
            </w:pPr>
            <w:r>
              <w:rPr>
                <w:rFonts w:hint="eastAsia" w:ascii="宋体" w:hAnsi="宋体" w:cs="宋体"/>
                <w:kern w:val="0"/>
                <w:szCs w:val="21"/>
              </w:rPr>
              <w:t>8. 按照宣布的开标顺序当众开标，开启投标文件，公布投标人名称、标段名称、投标报价、质量目标、工期及其他内容；</w:t>
            </w:r>
          </w:p>
          <w:p>
            <w:pPr>
              <w:autoSpaceDE w:val="0"/>
              <w:autoSpaceDN w:val="0"/>
              <w:adjustRightInd w:val="0"/>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9.招标人代表、监标人、记录人等有关人员在开标记录上签字确认；</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kern w:val="0"/>
                <w:szCs w:val="21"/>
              </w:rPr>
              <w:t>10. 开标结束。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094"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6.1.1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评标委员会的组建</w:t>
            </w:r>
          </w:p>
        </w:tc>
        <w:tc>
          <w:tcPr>
            <w:tcW w:w="6500" w:type="dxa"/>
            <w:vAlign w:val="center"/>
          </w:tcPr>
          <w:p>
            <w:pPr>
              <w:autoSpaceDE w:val="0"/>
              <w:autoSpaceDN w:val="0"/>
              <w:adjustRightInd w:val="0"/>
              <w:snapToGrid w:val="0"/>
              <w:spacing w:line="360" w:lineRule="auto"/>
              <w:ind w:firstLine="105" w:firstLineChars="50"/>
              <w:jc w:val="left"/>
              <w:rPr>
                <w:rFonts w:ascii="宋体" w:hAnsi="宋体" w:cs="宋体"/>
                <w:kern w:val="0"/>
                <w:szCs w:val="21"/>
              </w:rPr>
            </w:pPr>
            <w:r>
              <w:rPr>
                <w:rFonts w:hint="eastAsia" w:ascii="宋体" w:hAnsi="宋体" w:cs="宋体"/>
                <w:kern w:val="0"/>
                <w:szCs w:val="21"/>
              </w:rPr>
              <w:t>评标委员确定方式：招标人根据招标人公司规定自行组建。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094"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7.1</w:t>
            </w:r>
          </w:p>
        </w:tc>
        <w:tc>
          <w:tcPr>
            <w:tcW w:w="1925"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是否授权评标委员会确定中标人</w:t>
            </w:r>
          </w:p>
        </w:tc>
        <w:tc>
          <w:tcPr>
            <w:tcW w:w="6500" w:type="dxa"/>
            <w:vAlign w:val="center"/>
          </w:tcPr>
          <w:p>
            <w:pPr>
              <w:snapToGrid w:val="0"/>
              <w:spacing w:line="360" w:lineRule="auto"/>
              <w:ind w:left="317" w:leftChars="50" w:hanging="212" w:hangingChars="101"/>
              <w:rPr>
                <w:rFonts w:ascii="宋体" w:hAnsi="宋体" w:cs="宋体"/>
                <w:kern w:val="0"/>
                <w:szCs w:val="21"/>
              </w:rPr>
            </w:pPr>
            <w:r>
              <w:rPr>
                <w:rFonts w:hint="eastAsia" w:ascii="宋体" w:hAnsi="宋体"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 w:hRule="atLeast"/>
        </w:trPr>
        <w:tc>
          <w:tcPr>
            <w:tcW w:w="1094"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8.1</w:t>
            </w:r>
          </w:p>
        </w:tc>
        <w:tc>
          <w:tcPr>
            <w:tcW w:w="1925" w:type="dxa"/>
            <w:vAlign w:val="center"/>
          </w:tcPr>
          <w:p>
            <w:pPr>
              <w:pStyle w:val="4"/>
              <w:snapToGrid w:val="0"/>
              <w:spacing w:line="360" w:lineRule="auto"/>
              <w:rPr>
                <w:rFonts w:ascii="宋体" w:hAnsi="宋体" w:cs="宋体"/>
                <w:b w:val="0"/>
                <w:snapToGrid w:val="0"/>
                <w:sz w:val="21"/>
                <w:szCs w:val="21"/>
              </w:rPr>
            </w:pPr>
            <w:r>
              <w:rPr>
                <w:rFonts w:hint="eastAsia" w:ascii="宋体" w:hAnsi="宋体" w:cs="宋体"/>
                <w:b w:val="0"/>
                <w:snapToGrid w:val="0"/>
                <w:sz w:val="21"/>
                <w:szCs w:val="21"/>
              </w:rPr>
              <w:t>重新招标</w:t>
            </w:r>
          </w:p>
        </w:tc>
        <w:tc>
          <w:tcPr>
            <w:tcW w:w="6500" w:type="dxa"/>
            <w:vAlign w:val="center"/>
          </w:tcPr>
          <w:p>
            <w:pPr>
              <w:autoSpaceDE w:val="0"/>
              <w:autoSpaceDN w:val="0"/>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有下列情形之一的，招标人将重新招标；</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（1）投标截至时间止，投标人少于3个的；</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（2）经评标委员会评审后否决所有投标的。</w:t>
            </w:r>
          </w:p>
        </w:tc>
      </w:tr>
    </w:tbl>
    <w:p>
      <w:pPr>
        <w:spacing w:line="480" w:lineRule="auto"/>
        <w:rPr>
          <w:rFonts w:ascii="宋体" w:hAnsi="宋体" w:cs="宋体"/>
          <w:b/>
          <w:sz w:val="32"/>
          <w:szCs w:val="32"/>
        </w:rPr>
      </w:pPr>
      <w:bookmarkStart w:id="37" w:name="_Toc224103317"/>
      <w:bookmarkStart w:id="38" w:name="_Toc287620685"/>
      <w:bookmarkStart w:id="39" w:name="_Toc277082552"/>
      <w:bookmarkStart w:id="40" w:name="_Toc200513126"/>
      <w:bookmarkStart w:id="41" w:name="_Toc287607746"/>
    </w:p>
    <w:p>
      <w:pPr>
        <w:spacing w:line="480" w:lineRule="auto"/>
        <w:rPr>
          <w:rFonts w:ascii="宋体" w:hAnsi="宋体" w:cs="宋体"/>
          <w:b/>
          <w:sz w:val="32"/>
          <w:szCs w:val="32"/>
        </w:rPr>
        <w:sectPr>
          <w:headerReference r:id="rId10" w:type="default"/>
          <w:footerReference r:id="rId11" w:type="default"/>
          <w:footerReference r:id="rId12" w:type="even"/>
          <w:pgSz w:w="11906" w:h="16838"/>
          <w:pgMar w:top="1418" w:right="1361" w:bottom="1418" w:left="1418" w:header="851" w:footer="992" w:gutter="0"/>
          <w:pgNumType w:start="3"/>
          <w:cols w:space="720" w:num="1"/>
          <w:docGrid w:linePitch="312" w:charSpace="0"/>
        </w:sectPr>
      </w:pPr>
    </w:p>
    <w:p>
      <w:pPr>
        <w:pStyle w:val="3"/>
        <w:spacing w:before="0" w:after="0"/>
        <w:rPr>
          <w:rFonts w:ascii="宋体" w:hAnsi="宋体" w:cs="宋体"/>
          <w:snapToGrid w:val="0"/>
        </w:rPr>
      </w:pPr>
      <w:r>
        <w:rPr>
          <w:rFonts w:hint="eastAsia" w:ascii="宋体" w:hAnsi="宋体" w:cs="宋体"/>
          <w:snapToGrid w:val="0"/>
        </w:rPr>
        <w:t>1.  总则</w:t>
      </w:r>
      <w:bookmarkEnd w:id="37"/>
      <w:bookmarkEnd w:id="38"/>
      <w:bookmarkEnd w:id="39"/>
      <w:bookmarkEnd w:id="40"/>
      <w:bookmarkEnd w:id="41"/>
    </w:p>
    <w:p>
      <w:pPr>
        <w:pStyle w:val="4"/>
        <w:snapToGrid w:val="0"/>
        <w:spacing w:before="0" w:after="0" w:line="360" w:lineRule="auto"/>
        <w:rPr>
          <w:rFonts w:ascii="宋体" w:hAnsi="宋体" w:cs="宋体"/>
          <w:snapToGrid w:val="0"/>
        </w:rPr>
      </w:pPr>
      <w:bookmarkStart w:id="42" w:name="_Toc200513127"/>
      <w:bookmarkStart w:id="43" w:name="_Toc287620686"/>
      <w:bookmarkStart w:id="44" w:name="_Toc287607747"/>
      <w:bookmarkStart w:id="45" w:name="_Toc277082553"/>
      <w:bookmarkStart w:id="46" w:name="_Toc224103318"/>
      <w:r>
        <w:rPr>
          <w:rFonts w:hint="eastAsia" w:ascii="宋体" w:hAnsi="宋体" w:cs="宋体"/>
          <w:snapToGrid w:val="0"/>
        </w:rPr>
        <w:t>1.1  项目概况</w:t>
      </w:r>
      <w:bookmarkEnd w:id="42"/>
      <w:bookmarkEnd w:id="43"/>
      <w:bookmarkEnd w:id="44"/>
      <w:bookmarkEnd w:id="45"/>
      <w:bookmarkEnd w:id="46"/>
    </w:p>
    <w:p>
      <w:pPr>
        <w:autoSpaceDE w:val="0"/>
        <w:autoSpaceDN w:val="0"/>
        <w:adjustRightInd w:val="0"/>
        <w:snapToGrid w:val="0"/>
        <w:spacing w:line="360" w:lineRule="auto"/>
        <w:ind w:firstLine="357" w:firstLineChars="170"/>
        <w:jc w:val="left"/>
        <w:rPr>
          <w:rFonts w:ascii="宋体" w:hAnsi="宋体" w:cs="宋体"/>
          <w:snapToGrid w:val="0"/>
          <w:kern w:val="0"/>
          <w:szCs w:val="21"/>
        </w:rPr>
      </w:pPr>
      <w:r>
        <w:rPr>
          <w:rFonts w:hint="eastAsia" w:ascii="宋体" w:hAnsi="宋体" w:cs="宋体"/>
          <w:snapToGrid w:val="0"/>
          <w:kern w:val="0"/>
          <w:szCs w:val="21"/>
        </w:rPr>
        <w:t>1.1.1根据《中华人民共和国招标投标法》等有关法律、法规和规章的规定，本招标项目已具备招标条件，现对本标段施工进行招标。</w:t>
      </w:r>
    </w:p>
    <w:p>
      <w:pPr>
        <w:autoSpaceDE w:val="0"/>
        <w:autoSpaceDN w:val="0"/>
        <w:adjustRightInd w:val="0"/>
        <w:snapToGrid w:val="0"/>
        <w:spacing w:line="360" w:lineRule="auto"/>
        <w:ind w:firstLine="357" w:firstLineChars="170"/>
        <w:jc w:val="left"/>
        <w:rPr>
          <w:rFonts w:ascii="宋体" w:hAnsi="宋体" w:cs="宋体"/>
          <w:snapToGrid w:val="0"/>
          <w:kern w:val="0"/>
          <w:szCs w:val="21"/>
        </w:rPr>
      </w:pPr>
      <w:r>
        <w:rPr>
          <w:rFonts w:hint="eastAsia" w:ascii="宋体" w:hAnsi="宋体" w:cs="宋体"/>
          <w:snapToGrid w:val="0"/>
          <w:kern w:val="0"/>
          <w:szCs w:val="21"/>
        </w:rPr>
        <w:t>1.1.2本招标项目招标人：见投标人须知前附表。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1.1.3本招标项目招标代理机构：见投标人须知前附表。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1.1.4本招标项目名称：见投标人须知前附表。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1.1.5本招标项目建设地点：见投标人须知前附表。</w:t>
      </w:r>
    </w:p>
    <w:p>
      <w:pPr>
        <w:pStyle w:val="4"/>
        <w:snapToGrid w:val="0"/>
        <w:spacing w:before="0" w:after="0" w:line="360" w:lineRule="auto"/>
        <w:rPr>
          <w:rFonts w:ascii="宋体" w:hAnsi="宋体" w:cs="宋体"/>
          <w:snapToGrid w:val="0"/>
        </w:rPr>
      </w:pPr>
      <w:bookmarkStart w:id="47" w:name="_Toc287607748"/>
      <w:bookmarkStart w:id="48" w:name="_Toc277082554"/>
      <w:bookmarkStart w:id="49" w:name="_Toc200513128"/>
      <w:bookmarkStart w:id="50" w:name="_Toc224103319"/>
      <w:bookmarkStart w:id="51" w:name="_Toc287620687"/>
      <w:r>
        <w:rPr>
          <w:rFonts w:hint="eastAsia" w:ascii="宋体" w:hAnsi="宋体" w:cs="宋体"/>
          <w:snapToGrid w:val="0"/>
        </w:rPr>
        <w:t>1.2  资金来源和落实情况</w:t>
      </w:r>
      <w:bookmarkEnd w:id="47"/>
      <w:bookmarkEnd w:id="48"/>
      <w:bookmarkEnd w:id="49"/>
      <w:bookmarkEnd w:id="50"/>
      <w:bookmarkEnd w:id="51"/>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1.2.1本招标项目的资金来源：见投标人须知前附表。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1.2.2本招标项目的出资比例：见投标人须知前附表。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1.2.3本招标项目的资金落实情况：见投标人须知前附表。</w:t>
      </w:r>
    </w:p>
    <w:p>
      <w:pPr>
        <w:pStyle w:val="4"/>
        <w:snapToGrid w:val="0"/>
        <w:spacing w:before="0" w:after="0" w:line="360" w:lineRule="auto"/>
        <w:rPr>
          <w:rFonts w:ascii="宋体" w:hAnsi="宋体" w:cs="宋体"/>
          <w:snapToGrid w:val="0"/>
        </w:rPr>
      </w:pPr>
      <w:bookmarkStart w:id="52" w:name="_Toc224103320"/>
      <w:bookmarkStart w:id="53" w:name="_Toc287607749"/>
      <w:bookmarkStart w:id="54" w:name="_Toc287620688"/>
      <w:bookmarkStart w:id="55" w:name="_Toc277082555"/>
      <w:bookmarkStart w:id="56" w:name="_Toc200513129"/>
      <w:r>
        <w:rPr>
          <w:rFonts w:hint="eastAsia" w:ascii="宋体" w:hAnsi="宋体" w:cs="宋体"/>
          <w:snapToGrid w:val="0"/>
        </w:rPr>
        <w:t>1.3  招标范围、计划工期和质量要求</w:t>
      </w:r>
      <w:bookmarkEnd w:id="52"/>
      <w:bookmarkEnd w:id="53"/>
      <w:bookmarkEnd w:id="54"/>
      <w:bookmarkEnd w:id="55"/>
      <w:bookmarkEnd w:id="56"/>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1.3.1本次招标范围：见投标人须知前附表。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1.3.2本标段的计划工期：见投标人须知前附表。</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1.3.3本标段的质量要求：见投标人须知前附表。</w:t>
      </w:r>
    </w:p>
    <w:p>
      <w:pPr>
        <w:pStyle w:val="4"/>
        <w:snapToGrid w:val="0"/>
        <w:spacing w:before="0" w:after="0" w:line="360" w:lineRule="auto"/>
        <w:rPr>
          <w:rFonts w:ascii="宋体" w:hAnsi="宋体" w:cs="宋体"/>
          <w:snapToGrid w:val="0"/>
          <w:szCs w:val="21"/>
        </w:rPr>
      </w:pPr>
      <w:bookmarkStart w:id="57" w:name="_Toc200513131"/>
      <w:bookmarkStart w:id="58" w:name="_Toc287620690"/>
      <w:bookmarkStart w:id="59" w:name="_Toc277082557"/>
      <w:bookmarkStart w:id="60" w:name="_Toc224103322"/>
      <w:bookmarkStart w:id="61" w:name="_Toc287607751"/>
      <w:r>
        <w:rPr>
          <w:rFonts w:hint="eastAsia" w:ascii="宋体" w:hAnsi="宋体" w:cs="宋体"/>
          <w:snapToGrid w:val="0"/>
        </w:rPr>
        <w:t>1.4  投标人资格要求</w:t>
      </w:r>
      <w:bookmarkEnd w:id="57"/>
      <w:bookmarkEnd w:id="58"/>
      <w:bookmarkEnd w:id="59"/>
      <w:bookmarkEnd w:id="60"/>
      <w:bookmarkEnd w:id="61"/>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1.4.1投标人应具备承担本标段施工的资质条件、能力和信誉。</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w:t>
      </w:r>
      <w:r>
        <w:rPr>
          <w:rFonts w:hint="eastAsia" w:ascii="宋体" w:hAnsi="宋体" w:cs="宋体"/>
          <w:szCs w:val="21"/>
        </w:rPr>
        <w:t>资质条件、营业执照及安全生产条件</w:t>
      </w:r>
      <w:r>
        <w:rPr>
          <w:rFonts w:hint="eastAsia" w:ascii="宋体" w:hAnsi="宋体" w:cs="宋体"/>
          <w:snapToGrid w:val="0"/>
          <w:kern w:val="0"/>
          <w:szCs w:val="21"/>
        </w:rPr>
        <w:t>：见投标人须知前附表；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（2）业绩要求：见投标人须知前附表；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（3）项目经理资格：见投标人须知前附表；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（4）其他要求：见投标人须知前附表。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1.4.2投标人须知前附表规定不接受联合体投标。</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1.4.3投标人不得存在下列情形之一：</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position w:val="-2"/>
          <w:szCs w:val="21"/>
        </w:rPr>
        <w:t>（1）与招标人存在利害关系可能影响招标公正性的法人、其他组织或者个人；</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（2）为本招标项目前期准备提供设计或咨询服务的，但设计施工总承包的除外；</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（3）为本标段的监理人；</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（4）为本招标项目的代建人；</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（5）为本招标项目提供招标代理服务的；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（6）与本标段的监理人或代建人或招标代理机构同为一个法定代表人的；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（7）与本标段的监理人或代建人或招标代理机构相互控股或参股的；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（8）与本标段的监理人或代建人或招标代理机构相互任职或工作的；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（9）被责令停业的；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（10）被暂停或取消投标资格的；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（11）财产被接管或冻结的；</w:t>
      </w:r>
    </w:p>
    <w:p>
      <w:pPr>
        <w:tabs>
          <w:tab w:val="left" w:pos="2060"/>
          <w:tab w:val="left" w:pos="8205"/>
        </w:tabs>
        <w:autoSpaceDE w:val="0"/>
        <w:autoSpaceDN w:val="0"/>
        <w:adjustRightInd w:val="0"/>
        <w:snapToGrid w:val="0"/>
        <w:spacing w:line="360" w:lineRule="auto"/>
        <w:ind w:firstLine="405" w:firstLineChars="193"/>
        <w:jc w:val="left"/>
        <w:rPr>
          <w:rFonts w:ascii="宋体" w:hAnsi="宋体" w:cs="宋体"/>
          <w:snapToGrid w:val="0"/>
          <w:kern w:val="0"/>
          <w:szCs w:val="21"/>
        </w:rPr>
      </w:pPr>
      <w:r>
        <w:rPr>
          <w:rFonts w:hint="eastAsia" w:ascii="宋体" w:hAnsi="宋体" w:cs="宋体"/>
          <w:snapToGrid w:val="0"/>
          <w:kern w:val="0"/>
          <w:szCs w:val="21"/>
        </w:rPr>
        <w:t>（12）</w:t>
      </w:r>
      <w:r>
        <w:rPr>
          <w:rFonts w:hint="eastAsia" w:ascii="宋体" w:hAnsi="宋体" w:cs="宋体"/>
          <w:sz w:val="22"/>
          <w:szCs w:val="22"/>
        </w:rPr>
        <w:t>单位负责人为同一人或者存在控股、管理关系的不同单位，不得在同一标段中同时投标</w:t>
      </w:r>
      <w:r>
        <w:rPr>
          <w:rFonts w:hint="eastAsia" w:ascii="宋体" w:hAnsi="宋体" w:cs="宋体"/>
          <w:snapToGrid w:val="0"/>
          <w:kern w:val="0"/>
          <w:szCs w:val="21"/>
        </w:rPr>
        <w:t>。</w:t>
      </w:r>
    </w:p>
    <w:p>
      <w:pPr>
        <w:tabs>
          <w:tab w:val="left" w:pos="2060"/>
          <w:tab w:val="left" w:pos="8205"/>
        </w:tabs>
        <w:autoSpaceDE w:val="0"/>
        <w:autoSpaceDN w:val="0"/>
        <w:adjustRightInd w:val="0"/>
        <w:snapToGrid w:val="0"/>
        <w:spacing w:line="360" w:lineRule="auto"/>
        <w:ind w:firstLine="405" w:firstLineChars="193"/>
        <w:jc w:val="left"/>
        <w:rPr>
          <w:rFonts w:ascii="宋体" w:hAnsi="宋体" w:cs="宋体"/>
          <w:snapToGrid w:val="0"/>
          <w:kern w:val="0"/>
          <w:szCs w:val="21"/>
        </w:rPr>
      </w:pPr>
      <w:r>
        <w:rPr>
          <w:rFonts w:hint="eastAsia" w:ascii="宋体" w:hAnsi="宋体" w:cs="宋体"/>
          <w:snapToGrid w:val="0"/>
          <w:kern w:val="0"/>
          <w:szCs w:val="21"/>
        </w:rPr>
        <w:t>（13）具有投资参股关系的关联企业，或具有直接管理和被管理关系的母子公司，或同一母子公司的子公司，或法定代表人为同一个人的两个及两个以上法人不得同时对同一标段投标。</w:t>
      </w:r>
    </w:p>
    <w:p>
      <w:pPr>
        <w:pStyle w:val="4"/>
        <w:snapToGrid w:val="0"/>
        <w:spacing w:before="0" w:after="0" w:line="360" w:lineRule="auto"/>
        <w:rPr>
          <w:rFonts w:ascii="宋体" w:hAnsi="宋体" w:cs="宋体"/>
          <w:snapToGrid w:val="0"/>
        </w:rPr>
      </w:pPr>
      <w:bookmarkStart w:id="62" w:name="_Toc277082558"/>
      <w:bookmarkStart w:id="63" w:name="_Toc224103323"/>
      <w:bookmarkStart w:id="64" w:name="_Toc287607752"/>
      <w:bookmarkStart w:id="65" w:name="_Toc287620691"/>
      <w:bookmarkStart w:id="66" w:name="_Toc200513132"/>
      <w:r>
        <w:rPr>
          <w:rFonts w:hint="eastAsia" w:ascii="宋体" w:hAnsi="宋体" w:cs="宋体"/>
          <w:snapToGrid w:val="0"/>
        </w:rPr>
        <w:t>1.5  费用承担</w:t>
      </w:r>
      <w:bookmarkEnd w:id="62"/>
      <w:bookmarkEnd w:id="63"/>
      <w:bookmarkEnd w:id="64"/>
      <w:bookmarkEnd w:id="65"/>
      <w:bookmarkEnd w:id="66"/>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投标人准备和参加投标活动发生的费用自理。</w:t>
      </w:r>
    </w:p>
    <w:p>
      <w:pPr>
        <w:pStyle w:val="4"/>
        <w:snapToGrid w:val="0"/>
        <w:spacing w:before="0" w:after="0" w:line="360" w:lineRule="auto"/>
        <w:rPr>
          <w:rFonts w:ascii="宋体" w:hAnsi="宋体" w:cs="宋体"/>
          <w:snapToGrid w:val="0"/>
        </w:rPr>
      </w:pPr>
      <w:bookmarkStart w:id="67" w:name="_Toc287607753"/>
      <w:bookmarkStart w:id="68" w:name="_Toc277082559"/>
      <w:bookmarkStart w:id="69" w:name="_Toc224103324"/>
      <w:bookmarkStart w:id="70" w:name="_Toc200513133"/>
      <w:bookmarkStart w:id="71" w:name="_Toc287620692"/>
      <w:r>
        <w:rPr>
          <w:rFonts w:hint="eastAsia" w:ascii="宋体" w:hAnsi="宋体" w:cs="宋体"/>
          <w:snapToGrid w:val="0"/>
        </w:rPr>
        <w:t>1.6  保密</w:t>
      </w:r>
      <w:bookmarkEnd w:id="67"/>
      <w:bookmarkEnd w:id="68"/>
      <w:bookmarkEnd w:id="69"/>
      <w:bookmarkEnd w:id="70"/>
      <w:bookmarkEnd w:id="7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参与招标投标活动的各方应对招标文件和投标文件中的商业和技术等秘密保密，违者应对由此造成的后果承担法律责任。</w:t>
      </w:r>
    </w:p>
    <w:p>
      <w:pPr>
        <w:pStyle w:val="4"/>
        <w:snapToGrid w:val="0"/>
        <w:spacing w:before="0" w:after="0" w:line="360" w:lineRule="auto"/>
        <w:rPr>
          <w:rFonts w:ascii="宋体" w:hAnsi="宋体" w:cs="宋体"/>
          <w:snapToGrid w:val="0"/>
        </w:rPr>
      </w:pPr>
      <w:bookmarkStart w:id="72" w:name="_Toc287620693"/>
      <w:bookmarkStart w:id="73" w:name="_Toc200513134"/>
      <w:bookmarkStart w:id="74" w:name="_Toc277082560"/>
      <w:bookmarkStart w:id="75" w:name="_Toc287607754"/>
      <w:bookmarkStart w:id="76" w:name="_Toc224103325"/>
      <w:r>
        <w:rPr>
          <w:rFonts w:hint="eastAsia" w:ascii="宋体" w:hAnsi="宋体" w:cs="宋体"/>
          <w:snapToGrid w:val="0"/>
        </w:rPr>
        <w:t>1.7  语言文字</w:t>
      </w:r>
      <w:bookmarkEnd w:id="72"/>
      <w:bookmarkEnd w:id="73"/>
      <w:bookmarkEnd w:id="74"/>
      <w:bookmarkEnd w:id="75"/>
      <w:bookmarkEnd w:id="76"/>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除专用术语外，与招标投标有关的语言均使用中文。必要时专用术语应附有中文注释。</w:t>
      </w:r>
    </w:p>
    <w:p>
      <w:pPr>
        <w:pStyle w:val="4"/>
        <w:snapToGrid w:val="0"/>
        <w:spacing w:before="0" w:after="0" w:line="360" w:lineRule="auto"/>
        <w:rPr>
          <w:rFonts w:ascii="宋体" w:hAnsi="宋体" w:cs="宋体"/>
          <w:snapToGrid w:val="0"/>
        </w:rPr>
      </w:pPr>
      <w:bookmarkStart w:id="77" w:name="_Toc277082561"/>
      <w:bookmarkStart w:id="78" w:name="_Toc200513135"/>
      <w:bookmarkStart w:id="79" w:name="_Toc224103326"/>
      <w:bookmarkStart w:id="80" w:name="_Toc287620694"/>
      <w:bookmarkStart w:id="81" w:name="_Toc287607755"/>
      <w:r>
        <w:rPr>
          <w:rFonts w:hint="eastAsia" w:ascii="宋体" w:hAnsi="宋体" w:cs="宋体"/>
          <w:snapToGrid w:val="0"/>
        </w:rPr>
        <w:t>1.8  计量单位</w:t>
      </w:r>
      <w:bookmarkEnd w:id="77"/>
      <w:bookmarkEnd w:id="78"/>
      <w:bookmarkEnd w:id="79"/>
      <w:bookmarkEnd w:id="80"/>
      <w:bookmarkEnd w:id="81"/>
    </w:p>
    <w:p>
      <w:pPr>
        <w:autoSpaceDE w:val="0"/>
        <w:autoSpaceDN w:val="0"/>
        <w:adjustRightInd w:val="0"/>
        <w:snapToGrid w:val="0"/>
        <w:spacing w:line="360" w:lineRule="auto"/>
        <w:ind w:firstLine="424" w:firstLineChars="202"/>
        <w:jc w:val="left"/>
        <w:rPr>
          <w:rFonts w:ascii="宋体" w:hAnsi="宋体" w:cs="宋体"/>
          <w:snapToGrid w:val="0"/>
          <w:kern w:val="0"/>
          <w:szCs w:val="21"/>
        </w:rPr>
      </w:pPr>
      <w:r>
        <w:rPr>
          <w:rFonts w:hint="eastAsia" w:ascii="宋体" w:hAnsi="宋体" w:cs="宋体"/>
          <w:snapToGrid w:val="0"/>
          <w:kern w:val="0"/>
          <w:szCs w:val="21"/>
        </w:rPr>
        <w:t>所有计量均采用中华人民共和国法定计量单位。</w:t>
      </w:r>
    </w:p>
    <w:p>
      <w:pPr>
        <w:pStyle w:val="4"/>
        <w:snapToGrid w:val="0"/>
        <w:spacing w:before="0" w:after="0" w:line="360" w:lineRule="auto"/>
        <w:rPr>
          <w:rFonts w:ascii="宋体" w:hAnsi="宋体" w:cs="宋体"/>
          <w:snapToGrid w:val="0"/>
        </w:rPr>
      </w:pPr>
      <w:bookmarkStart w:id="82" w:name="_Toc224103327"/>
      <w:bookmarkStart w:id="83" w:name="_Toc277082562"/>
      <w:bookmarkStart w:id="84" w:name="_Toc200513136"/>
      <w:bookmarkStart w:id="85" w:name="_Toc287607756"/>
      <w:bookmarkStart w:id="86" w:name="_Toc287620695"/>
      <w:r>
        <w:rPr>
          <w:rFonts w:hint="eastAsia" w:ascii="宋体" w:hAnsi="宋体" w:cs="宋体"/>
          <w:snapToGrid w:val="0"/>
        </w:rPr>
        <w:t>1.9  踏勘现场</w:t>
      </w:r>
      <w:bookmarkEnd w:id="82"/>
      <w:bookmarkEnd w:id="83"/>
      <w:bookmarkEnd w:id="84"/>
      <w:bookmarkEnd w:id="85"/>
      <w:bookmarkEnd w:id="8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1.9.1见投标人须知前附表。</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1.9.2投标人踏勘现场发生的费用自理。</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1.9.3除招标人的原因外，投标人自行负责在踏勘现场中所发生的人员伤亡和财产损失。</w:t>
      </w:r>
    </w:p>
    <w:p>
      <w:pPr>
        <w:pStyle w:val="4"/>
        <w:snapToGrid w:val="0"/>
        <w:spacing w:before="0" w:after="0" w:line="360" w:lineRule="auto"/>
        <w:rPr>
          <w:rFonts w:ascii="宋体" w:hAnsi="宋体" w:cs="宋体"/>
          <w:snapToGrid w:val="0"/>
        </w:rPr>
      </w:pPr>
      <w:bookmarkStart w:id="87" w:name="_Toc200513137"/>
      <w:bookmarkStart w:id="88" w:name="_Toc224103328"/>
      <w:bookmarkStart w:id="89" w:name="_Toc277082563"/>
      <w:bookmarkStart w:id="90" w:name="_Toc287607757"/>
      <w:bookmarkStart w:id="91" w:name="_Toc287620696"/>
      <w:r>
        <w:rPr>
          <w:rFonts w:hint="eastAsia" w:ascii="宋体" w:hAnsi="宋体" w:cs="宋体"/>
          <w:snapToGrid w:val="0"/>
        </w:rPr>
        <w:t>1.10  投标预备会</w:t>
      </w:r>
      <w:bookmarkEnd w:id="87"/>
      <w:bookmarkEnd w:id="88"/>
      <w:bookmarkEnd w:id="89"/>
      <w:bookmarkEnd w:id="90"/>
      <w:bookmarkEnd w:id="91"/>
    </w:p>
    <w:p>
      <w:pPr>
        <w:autoSpaceDE w:val="0"/>
        <w:autoSpaceDN w:val="0"/>
        <w:adjustRightInd w:val="0"/>
        <w:snapToGrid w:val="0"/>
        <w:spacing w:line="360" w:lineRule="auto"/>
        <w:ind w:firstLine="424" w:firstLineChars="202"/>
        <w:jc w:val="left"/>
        <w:rPr>
          <w:rFonts w:ascii="宋体" w:hAnsi="宋体" w:cs="宋体"/>
          <w:snapToGrid w:val="0"/>
          <w:kern w:val="0"/>
          <w:szCs w:val="21"/>
        </w:rPr>
      </w:pPr>
      <w:r>
        <w:rPr>
          <w:rFonts w:hint="eastAsia" w:ascii="宋体" w:hAnsi="宋体" w:cs="宋体"/>
          <w:snapToGrid w:val="0"/>
          <w:kern w:val="0"/>
          <w:szCs w:val="21"/>
        </w:rPr>
        <w:t>1.10.1见投标人须知前附表。</w:t>
      </w:r>
    </w:p>
    <w:p>
      <w:pPr>
        <w:pStyle w:val="4"/>
        <w:snapToGrid w:val="0"/>
        <w:spacing w:before="0" w:after="0" w:line="360" w:lineRule="auto"/>
        <w:rPr>
          <w:rFonts w:ascii="宋体" w:hAnsi="宋体" w:cs="宋体"/>
          <w:snapToGrid w:val="0"/>
        </w:rPr>
      </w:pPr>
      <w:bookmarkStart w:id="92" w:name="_Toc200513138"/>
      <w:bookmarkStart w:id="93" w:name="_Toc224103329"/>
      <w:bookmarkStart w:id="94" w:name="_Toc277082564"/>
      <w:bookmarkStart w:id="95" w:name="_Toc287607758"/>
      <w:bookmarkStart w:id="96" w:name="_Toc287620697"/>
      <w:r>
        <w:rPr>
          <w:rFonts w:hint="eastAsia" w:ascii="宋体" w:hAnsi="宋体" w:cs="宋体"/>
          <w:snapToGrid w:val="0"/>
        </w:rPr>
        <w:t>1.11  分包</w:t>
      </w:r>
      <w:bookmarkEnd w:id="92"/>
      <w:bookmarkEnd w:id="93"/>
      <w:bookmarkEnd w:id="94"/>
      <w:bookmarkEnd w:id="95"/>
      <w:bookmarkEnd w:id="96"/>
    </w:p>
    <w:p>
      <w:pPr>
        <w:pStyle w:val="4"/>
        <w:snapToGrid w:val="0"/>
        <w:spacing w:before="0" w:after="0" w:line="360" w:lineRule="auto"/>
        <w:ind w:firstLine="525" w:firstLineChars="250"/>
        <w:rPr>
          <w:rFonts w:ascii="宋体" w:hAnsi="宋体" w:cs="宋体"/>
          <w:b w:val="0"/>
          <w:bCs w:val="0"/>
          <w:snapToGrid w:val="0"/>
          <w:kern w:val="0"/>
          <w:sz w:val="21"/>
          <w:szCs w:val="21"/>
        </w:rPr>
      </w:pPr>
      <w:bookmarkStart w:id="97" w:name="_Toc287620698"/>
      <w:bookmarkStart w:id="98" w:name="_Toc287607759"/>
      <w:bookmarkStart w:id="99" w:name="_Toc277082565"/>
      <w:bookmarkStart w:id="100" w:name="_Toc224103330"/>
      <w:bookmarkStart w:id="101" w:name="_Toc200513139"/>
      <w:r>
        <w:rPr>
          <w:rFonts w:hint="eastAsia" w:ascii="宋体" w:hAnsi="宋体" w:cs="宋体"/>
          <w:b w:val="0"/>
          <w:bCs w:val="0"/>
          <w:snapToGrid w:val="0"/>
          <w:kern w:val="0"/>
          <w:sz w:val="21"/>
          <w:szCs w:val="21"/>
        </w:rPr>
        <w:t>见前附表。</w:t>
      </w:r>
    </w:p>
    <w:p>
      <w:pPr>
        <w:pStyle w:val="4"/>
        <w:snapToGrid w:val="0"/>
        <w:spacing w:before="0" w:after="0" w:line="360" w:lineRule="auto"/>
        <w:rPr>
          <w:rFonts w:ascii="宋体" w:hAnsi="宋体" w:cs="宋体"/>
          <w:snapToGrid w:val="0"/>
        </w:rPr>
      </w:pPr>
      <w:r>
        <w:rPr>
          <w:rFonts w:hint="eastAsia" w:ascii="宋体" w:hAnsi="宋体" w:cs="宋体"/>
          <w:snapToGrid w:val="0"/>
        </w:rPr>
        <w:t>1.12  偏离</w:t>
      </w:r>
      <w:bookmarkEnd w:id="97"/>
      <w:bookmarkEnd w:id="98"/>
      <w:bookmarkEnd w:id="99"/>
      <w:bookmarkEnd w:id="100"/>
      <w:bookmarkEnd w:id="10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见投标人须知前附表。</w:t>
      </w:r>
      <w:bookmarkStart w:id="102" w:name="_Toc287607760"/>
      <w:bookmarkStart w:id="103" w:name="_Toc287620699"/>
      <w:bookmarkStart w:id="104" w:name="_Toc277082566"/>
      <w:bookmarkStart w:id="105" w:name="_Toc200513140"/>
      <w:bookmarkStart w:id="106" w:name="_Toc224103331"/>
    </w:p>
    <w:p>
      <w:pPr>
        <w:pStyle w:val="4"/>
        <w:snapToGrid w:val="0"/>
        <w:spacing w:before="0" w:after="0" w:line="360" w:lineRule="auto"/>
        <w:rPr>
          <w:rFonts w:ascii="宋体" w:hAnsi="宋体" w:cs="宋体"/>
          <w:snapToGrid w:val="0"/>
        </w:rPr>
      </w:pPr>
      <w:r>
        <w:rPr>
          <w:rFonts w:hint="eastAsia" w:ascii="宋体" w:hAnsi="宋体" w:cs="宋体"/>
          <w:snapToGrid w:val="0"/>
        </w:rPr>
        <w:t>2.  招标文件</w:t>
      </w:r>
      <w:bookmarkEnd w:id="102"/>
      <w:bookmarkEnd w:id="103"/>
      <w:bookmarkEnd w:id="104"/>
      <w:bookmarkEnd w:id="105"/>
      <w:bookmarkEnd w:id="106"/>
    </w:p>
    <w:p>
      <w:pPr>
        <w:pStyle w:val="4"/>
        <w:snapToGrid w:val="0"/>
        <w:spacing w:before="0" w:after="0" w:line="360" w:lineRule="auto"/>
        <w:rPr>
          <w:rFonts w:ascii="宋体" w:hAnsi="宋体" w:cs="宋体"/>
          <w:snapToGrid w:val="0"/>
        </w:rPr>
      </w:pPr>
      <w:bookmarkStart w:id="107" w:name="_Toc287620700"/>
      <w:bookmarkStart w:id="108" w:name="_Toc287607761"/>
      <w:bookmarkStart w:id="109" w:name="_Toc200513141"/>
      <w:bookmarkStart w:id="110" w:name="_Toc277082567"/>
      <w:bookmarkStart w:id="111" w:name="_Toc224103332"/>
      <w:r>
        <w:rPr>
          <w:rFonts w:hint="eastAsia" w:ascii="宋体" w:hAnsi="宋体" w:cs="宋体"/>
          <w:snapToGrid w:val="0"/>
        </w:rPr>
        <w:t>2.1  招标文件的组成</w:t>
      </w:r>
      <w:bookmarkEnd w:id="107"/>
      <w:bookmarkEnd w:id="108"/>
      <w:bookmarkEnd w:id="109"/>
      <w:bookmarkEnd w:id="110"/>
      <w:bookmarkEnd w:id="111"/>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本招标文件包括：</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（1）投标邀请书；</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（2）投标人须知；</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（3）评标办法；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（4）合同格式；</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（5）工程量清单及图纸；</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（6）投标文件格式；</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（7）投标人须知前附表规定的其他材料。</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根据本章第1.10款、第2.2款和第2.3款对招标文件所作的澄清、修改，构成招标文件的组成部分。</w:t>
      </w:r>
    </w:p>
    <w:p>
      <w:pPr>
        <w:pStyle w:val="4"/>
        <w:snapToGrid w:val="0"/>
        <w:spacing w:before="0" w:after="0" w:line="360" w:lineRule="auto"/>
        <w:rPr>
          <w:rFonts w:ascii="宋体" w:hAnsi="宋体" w:cs="宋体"/>
          <w:snapToGrid w:val="0"/>
        </w:rPr>
      </w:pPr>
      <w:bookmarkStart w:id="112" w:name="_Toc287620701"/>
      <w:bookmarkStart w:id="113" w:name="_Toc277082568"/>
      <w:bookmarkStart w:id="114" w:name="_Toc224103333"/>
      <w:bookmarkStart w:id="115" w:name="_Toc287607762"/>
      <w:bookmarkStart w:id="116" w:name="_Toc200513142"/>
      <w:r>
        <w:rPr>
          <w:rFonts w:hint="eastAsia" w:ascii="宋体" w:hAnsi="宋体" w:cs="宋体"/>
          <w:snapToGrid w:val="0"/>
        </w:rPr>
        <w:t>2.2  招标文件的澄清</w:t>
      </w:r>
      <w:bookmarkEnd w:id="112"/>
      <w:bookmarkEnd w:id="113"/>
      <w:bookmarkEnd w:id="114"/>
      <w:bookmarkEnd w:id="115"/>
      <w:bookmarkEnd w:id="116"/>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2.2.1投标人应仔细阅读和检查招标文件的全部内容。如发现缺页或附件不全，应及时向招标人提出，以便补齐。如有疑问，应在投标人须知前附表规定的时间前以书面形式（包括信函、传真等可以有形地表现所载内容的形式，下同），要求招标人对招标文件予以澄清。不管是招标人根据需要主动对招标文件进行必要的澄清或是根据投标人的质疑对招标文件做出澄清，招标人有关澄清招标文件的任何形式的文件都将作为招标文件的合法组成部分，对投标人起约束作用。</w:t>
      </w:r>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2.2.2招标文件的澄清将在投标人须知前附表规定的投标截止时间前发给所有购买招标文件的投标人（发到投标人购买招标文件时留的电子邮箱），但不指明澄清问题的来源。如果澄清发出的时间距投标截止时间过短，招标人将适当延长投标截止时间。</w:t>
      </w:r>
    </w:p>
    <w:p>
      <w:pPr>
        <w:pStyle w:val="4"/>
        <w:snapToGrid w:val="0"/>
        <w:spacing w:before="0" w:after="0" w:line="360" w:lineRule="auto"/>
        <w:rPr>
          <w:rFonts w:ascii="宋体" w:hAnsi="宋体" w:cs="宋体"/>
          <w:snapToGrid w:val="0"/>
        </w:rPr>
      </w:pPr>
      <w:bookmarkStart w:id="117" w:name="_Toc287620702"/>
      <w:bookmarkStart w:id="118" w:name="_Toc287607763"/>
      <w:bookmarkStart w:id="119" w:name="_Toc277082569"/>
      <w:bookmarkStart w:id="120" w:name="_Toc224103334"/>
      <w:bookmarkStart w:id="121" w:name="_Toc200513143"/>
      <w:r>
        <w:rPr>
          <w:rFonts w:hint="eastAsia" w:ascii="宋体" w:hAnsi="宋体" w:cs="宋体"/>
          <w:snapToGrid w:val="0"/>
        </w:rPr>
        <w:t>2.3  招标文件的修改</w:t>
      </w:r>
      <w:bookmarkEnd w:id="117"/>
      <w:bookmarkEnd w:id="118"/>
      <w:bookmarkEnd w:id="119"/>
      <w:bookmarkEnd w:id="120"/>
      <w:bookmarkEnd w:id="12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2.3.1在前附表规定时间前，招标人可以修改招标文件，并通知所有已购买招标文件的投标人（发到投标人购买招标文件时留的电子邮箱）。如果修改招标文件影响投标时间，招标人将适当延长投标截</w:t>
      </w:r>
      <w:r>
        <w:rPr>
          <w:rFonts w:hint="eastAsia" w:ascii="宋体" w:hAnsi="宋体" w:cs="宋体"/>
          <w:snapToGrid w:val="0"/>
          <w:kern w:val="0"/>
          <w:position w:val="-2"/>
          <w:szCs w:val="21"/>
        </w:rPr>
        <w:t>止时间。</w:t>
      </w:r>
    </w:p>
    <w:p>
      <w:pPr>
        <w:pStyle w:val="3"/>
        <w:spacing w:before="0" w:after="0"/>
        <w:rPr>
          <w:rFonts w:ascii="宋体" w:hAnsi="宋体" w:cs="宋体"/>
          <w:snapToGrid w:val="0"/>
        </w:rPr>
      </w:pPr>
      <w:bookmarkStart w:id="122" w:name="_Toc287620703"/>
      <w:bookmarkStart w:id="123" w:name="_Toc277082570"/>
      <w:bookmarkStart w:id="124" w:name="_Toc224103335"/>
      <w:bookmarkStart w:id="125" w:name="_Toc200513144"/>
      <w:bookmarkStart w:id="126" w:name="_Toc287607764"/>
      <w:r>
        <w:rPr>
          <w:rFonts w:hint="eastAsia" w:ascii="宋体" w:hAnsi="宋体" w:cs="宋体"/>
          <w:snapToGrid w:val="0"/>
        </w:rPr>
        <w:t>3.  投标文件</w:t>
      </w:r>
      <w:bookmarkEnd w:id="122"/>
      <w:bookmarkEnd w:id="123"/>
      <w:bookmarkEnd w:id="124"/>
      <w:bookmarkEnd w:id="125"/>
      <w:bookmarkEnd w:id="126"/>
    </w:p>
    <w:p>
      <w:pPr>
        <w:pStyle w:val="4"/>
        <w:snapToGrid w:val="0"/>
        <w:spacing w:before="0" w:after="0" w:line="360" w:lineRule="auto"/>
        <w:rPr>
          <w:rFonts w:ascii="宋体" w:hAnsi="宋体" w:cs="宋体"/>
          <w:snapToGrid w:val="0"/>
        </w:rPr>
      </w:pPr>
      <w:bookmarkStart w:id="127" w:name="_Toc224103336"/>
      <w:bookmarkStart w:id="128" w:name="_Toc200513145"/>
      <w:bookmarkStart w:id="129" w:name="_Toc277082571"/>
      <w:bookmarkStart w:id="130" w:name="_Toc287620704"/>
      <w:bookmarkStart w:id="131" w:name="_Toc287607765"/>
      <w:r>
        <w:rPr>
          <w:rFonts w:hint="eastAsia" w:ascii="宋体" w:hAnsi="宋体" w:cs="宋体"/>
          <w:snapToGrid w:val="0"/>
        </w:rPr>
        <w:t>3.1  投标文件的组成</w:t>
      </w:r>
      <w:bookmarkEnd w:id="127"/>
      <w:bookmarkEnd w:id="128"/>
      <w:bookmarkEnd w:id="129"/>
      <w:bookmarkEnd w:id="130"/>
      <w:bookmarkEnd w:id="13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3.1.1投标文件应包括下列内容：</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（1）投标函及投标函附录；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（2）法定代表人身份证明或附有法定代表人身份证明的授权委托书；</w:t>
      </w:r>
    </w:p>
    <w:p>
      <w:pPr>
        <w:autoSpaceDE w:val="0"/>
        <w:autoSpaceDN w:val="0"/>
        <w:adjustRightInd w:val="0"/>
        <w:snapToGrid w:val="0"/>
        <w:spacing w:line="360" w:lineRule="auto"/>
        <w:ind w:left="359" w:leftChars="171"/>
        <w:jc w:val="left"/>
        <w:rPr>
          <w:rFonts w:ascii="宋体" w:hAnsi="宋体" w:cs="宋体"/>
        </w:rPr>
      </w:pPr>
      <w:r>
        <w:rPr>
          <w:rFonts w:hint="eastAsia" w:ascii="宋体" w:hAnsi="宋体" w:cs="宋体"/>
          <w:snapToGrid w:val="0"/>
          <w:kern w:val="0"/>
          <w:szCs w:val="21"/>
        </w:rPr>
        <w:t>（3）投标报价表（已标价工程量清单）；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（4）项目管理机构表；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（5）资格审查资料；</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（6）技术部分；</w:t>
      </w:r>
    </w:p>
    <w:p>
      <w:pPr>
        <w:autoSpaceDE w:val="0"/>
        <w:autoSpaceDN w:val="0"/>
        <w:adjustRightInd w:val="0"/>
        <w:snapToGrid w:val="0"/>
        <w:spacing w:line="360" w:lineRule="auto"/>
        <w:ind w:firstLine="315" w:firstLineChars="150"/>
        <w:jc w:val="left"/>
        <w:rPr>
          <w:rFonts w:ascii="宋体" w:hAnsi="宋体" w:cs="宋体"/>
          <w:snapToGrid w:val="0"/>
          <w:kern w:val="0"/>
          <w:szCs w:val="21"/>
        </w:rPr>
      </w:pPr>
      <w:r>
        <w:rPr>
          <w:rFonts w:hint="eastAsia" w:ascii="宋体" w:hAnsi="宋体" w:cs="宋体"/>
          <w:snapToGrid w:val="0"/>
          <w:kern w:val="0"/>
          <w:szCs w:val="21"/>
        </w:rPr>
        <w:t>（7）投标人须知前附表规定的其他材料。</w:t>
      </w:r>
    </w:p>
    <w:p>
      <w:pPr>
        <w:pStyle w:val="4"/>
        <w:snapToGrid w:val="0"/>
        <w:spacing w:before="0" w:after="0" w:line="360" w:lineRule="auto"/>
        <w:rPr>
          <w:rFonts w:ascii="宋体" w:hAnsi="宋体" w:cs="宋体"/>
          <w:snapToGrid w:val="0"/>
        </w:rPr>
      </w:pPr>
      <w:bookmarkStart w:id="132" w:name="_Toc200513146"/>
      <w:bookmarkStart w:id="133" w:name="_Toc224103337"/>
      <w:bookmarkStart w:id="134" w:name="_Toc277082572"/>
      <w:bookmarkStart w:id="135" w:name="_Toc287607766"/>
      <w:bookmarkStart w:id="136" w:name="_Toc287620705"/>
      <w:r>
        <w:rPr>
          <w:rFonts w:hint="eastAsia" w:ascii="宋体" w:hAnsi="宋体" w:cs="宋体"/>
          <w:snapToGrid w:val="0"/>
        </w:rPr>
        <w:t>3.2  投标报价</w:t>
      </w:r>
      <w:bookmarkEnd w:id="132"/>
      <w:bookmarkEnd w:id="133"/>
      <w:bookmarkEnd w:id="134"/>
      <w:bookmarkEnd w:id="135"/>
      <w:bookmarkEnd w:id="136"/>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3.2.1投标人应按前附表“投标报价”要求编制“投标报价（已标价工程量清单）”。</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3.2.2　投标人在投标截止时间前修改投标函中的投标总报价须符合本章第 4.3 款的有关要求。</w:t>
      </w:r>
    </w:p>
    <w:p>
      <w:pPr>
        <w:pStyle w:val="4"/>
        <w:snapToGrid w:val="0"/>
        <w:spacing w:before="0" w:after="0" w:line="360" w:lineRule="auto"/>
        <w:rPr>
          <w:rFonts w:ascii="宋体" w:hAnsi="宋体" w:cs="宋体"/>
          <w:snapToGrid w:val="0"/>
        </w:rPr>
      </w:pPr>
      <w:bookmarkStart w:id="137" w:name="_Toc200513147"/>
      <w:bookmarkStart w:id="138" w:name="_Toc224103338"/>
      <w:bookmarkStart w:id="139" w:name="_Toc277082573"/>
      <w:bookmarkStart w:id="140" w:name="_Toc287607767"/>
      <w:bookmarkStart w:id="141" w:name="_Toc287620706"/>
      <w:r>
        <w:rPr>
          <w:rFonts w:hint="eastAsia" w:ascii="宋体" w:hAnsi="宋体" w:cs="宋体"/>
          <w:snapToGrid w:val="0"/>
        </w:rPr>
        <w:t>3.3  投标有效期</w:t>
      </w:r>
      <w:bookmarkEnd w:id="137"/>
      <w:bookmarkEnd w:id="138"/>
      <w:bookmarkEnd w:id="139"/>
      <w:bookmarkEnd w:id="140"/>
      <w:bookmarkEnd w:id="14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3.3.1在投标人须知前附表规定的投标有效期内，投标人不得要求撤销或修改其投标文件。</w:t>
      </w:r>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snapToGrid w:val="0"/>
        <w:spacing w:before="0" w:after="0" w:line="360" w:lineRule="auto"/>
        <w:rPr>
          <w:rFonts w:ascii="宋体" w:hAnsi="宋体" w:cs="宋体"/>
          <w:snapToGrid w:val="0"/>
        </w:rPr>
      </w:pPr>
      <w:bookmarkStart w:id="142" w:name="_Toc287620707"/>
      <w:bookmarkStart w:id="143" w:name="_Toc287607768"/>
      <w:bookmarkStart w:id="144" w:name="_Toc277082574"/>
      <w:bookmarkStart w:id="145" w:name="_Toc224103339"/>
      <w:bookmarkStart w:id="146" w:name="_Toc200513148"/>
      <w:r>
        <w:rPr>
          <w:rFonts w:hint="eastAsia" w:ascii="宋体" w:hAnsi="宋体" w:cs="宋体"/>
          <w:snapToGrid w:val="0"/>
        </w:rPr>
        <w:t>3.4  投标保证金</w:t>
      </w:r>
      <w:bookmarkEnd w:id="142"/>
      <w:bookmarkEnd w:id="143"/>
      <w:bookmarkEnd w:id="144"/>
      <w:bookmarkEnd w:id="145"/>
      <w:bookmarkEnd w:id="146"/>
    </w:p>
    <w:p>
      <w:pPr>
        <w:autoSpaceDE w:val="0"/>
        <w:autoSpaceDN w:val="0"/>
        <w:adjustRightInd w:val="0"/>
        <w:snapToGrid w:val="0"/>
        <w:spacing w:line="360" w:lineRule="auto"/>
        <w:ind w:firstLine="420" w:firstLineChars="200"/>
        <w:rPr>
          <w:rFonts w:ascii="宋体" w:hAnsi="宋体" w:cs="宋体"/>
          <w:snapToGrid w:val="0"/>
          <w:kern w:val="0"/>
          <w:szCs w:val="21"/>
        </w:rPr>
      </w:pPr>
      <w:r>
        <w:rPr>
          <w:rFonts w:hint="eastAsia" w:ascii="宋体" w:hAnsi="宋体" w:cs="宋体"/>
          <w:snapToGrid w:val="0"/>
          <w:kern w:val="0"/>
          <w:szCs w:val="21"/>
        </w:rPr>
        <w:t>3.4.1投标人在递交投标文件的同时，应按投标人须知前附表规定的金额、担保形式递交投标保证金，并作为其投标文件的组成部分。</w:t>
      </w:r>
    </w:p>
    <w:p>
      <w:pPr>
        <w:autoSpaceDE w:val="0"/>
        <w:autoSpaceDN w:val="0"/>
        <w:adjustRightInd w:val="0"/>
        <w:snapToGrid w:val="0"/>
        <w:spacing w:line="360" w:lineRule="auto"/>
        <w:ind w:left="13" w:leftChars="6" w:firstLine="405" w:firstLineChars="193"/>
        <w:jc w:val="left"/>
        <w:rPr>
          <w:rFonts w:ascii="宋体" w:hAnsi="宋体" w:cs="宋体"/>
          <w:snapToGrid w:val="0"/>
          <w:kern w:val="0"/>
          <w:szCs w:val="21"/>
        </w:rPr>
      </w:pPr>
      <w:r>
        <w:rPr>
          <w:rFonts w:hint="eastAsia" w:ascii="宋体" w:hAnsi="宋体" w:cs="宋体"/>
          <w:snapToGrid w:val="0"/>
          <w:kern w:val="0"/>
          <w:szCs w:val="21"/>
        </w:rPr>
        <w:t>3.4.2投标人不按本章第 3.4.1 项要求提交投标保证金的，其投标文件作废标处理。</w:t>
      </w:r>
    </w:p>
    <w:p>
      <w:pPr>
        <w:autoSpaceDE w:val="0"/>
        <w:autoSpaceDN w:val="0"/>
        <w:adjustRightInd w:val="0"/>
        <w:snapToGrid w:val="0"/>
        <w:spacing w:line="360" w:lineRule="auto"/>
        <w:ind w:left="13" w:leftChars="6" w:firstLine="405" w:firstLineChars="193"/>
        <w:jc w:val="left"/>
        <w:rPr>
          <w:rFonts w:ascii="宋体" w:hAnsi="宋体" w:cs="宋体"/>
          <w:snapToGrid w:val="0"/>
          <w:kern w:val="0"/>
          <w:szCs w:val="21"/>
        </w:rPr>
      </w:pPr>
      <w:r>
        <w:rPr>
          <w:rFonts w:hint="eastAsia" w:ascii="宋体" w:hAnsi="宋体" w:cs="宋体"/>
          <w:snapToGrid w:val="0"/>
          <w:kern w:val="0"/>
          <w:szCs w:val="21"/>
        </w:rPr>
        <w:t>3.4.3投标</w:t>
      </w:r>
      <w:r>
        <w:rPr>
          <w:rFonts w:hint="eastAsia" w:ascii="宋体" w:hAnsi="宋体" w:cs="宋体"/>
          <w:snapToGrid w:val="0"/>
          <w:kern w:val="0"/>
          <w:position w:val="-2"/>
          <w:szCs w:val="21"/>
        </w:rPr>
        <w:t>保证金</w:t>
      </w:r>
      <w:r>
        <w:rPr>
          <w:rFonts w:hint="eastAsia" w:ascii="宋体" w:hAnsi="宋体" w:cs="宋体"/>
          <w:snapToGrid w:val="0"/>
          <w:kern w:val="0"/>
          <w:szCs w:val="21"/>
        </w:rPr>
        <w:t>退还：见投标人须知前附表</w:t>
      </w:r>
      <w:r>
        <w:rPr>
          <w:rFonts w:hint="eastAsia" w:ascii="宋体" w:hAnsi="宋体" w:cs="宋体"/>
          <w:snapToGrid w:val="0"/>
          <w:kern w:val="0"/>
          <w:position w:val="-2"/>
          <w:szCs w:val="21"/>
        </w:rPr>
        <w:t>。</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3.4.4有下列情形之一的，投标保证金将不予退还：</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（1）投标人在规定的投标有效期内撤销或修改其投标文件；</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（2）中标人在收到中标通知书后，无正当理由拒签合同协议书或未按招标文件规定提交履约担保。</w:t>
      </w:r>
    </w:p>
    <w:p>
      <w:pPr>
        <w:pStyle w:val="4"/>
        <w:snapToGrid w:val="0"/>
        <w:spacing w:before="0" w:after="0" w:line="360" w:lineRule="auto"/>
        <w:rPr>
          <w:rFonts w:ascii="宋体" w:hAnsi="宋体" w:cs="宋体"/>
          <w:snapToGrid w:val="0"/>
        </w:rPr>
      </w:pPr>
      <w:bookmarkStart w:id="147" w:name="_Toc287620709"/>
      <w:bookmarkStart w:id="148" w:name="_Toc224103341"/>
      <w:bookmarkStart w:id="149" w:name="_Toc287607770"/>
      <w:bookmarkStart w:id="150" w:name="_Toc277082576"/>
      <w:bookmarkStart w:id="151" w:name="_Toc200513150"/>
      <w:r>
        <w:rPr>
          <w:rFonts w:hint="eastAsia" w:ascii="宋体" w:hAnsi="宋体" w:cs="宋体"/>
          <w:snapToGrid w:val="0"/>
        </w:rPr>
        <w:t>3.5  资格审查资料</w:t>
      </w:r>
      <w:bookmarkEnd w:id="147"/>
      <w:bookmarkEnd w:id="148"/>
      <w:bookmarkEnd w:id="149"/>
      <w:bookmarkEnd w:id="150"/>
      <w:bookmarkEnd w:id="15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3.5.1“投标人基本情况表”应附投标人营业执照副本及其年检合格的证明材料、组织机构代码证副本、资质证书副本、安全生产许可证、税务登记证副本、银行开户许可证、“三类人员”相应的安全生产考核合格证书等材料的复印件。</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3.5.2“近年完成的类似项目情况表”应附合同协议书或工程竣工验收证明书的复印件，具体年份要求见投标人须知前附表。</w:t>
      </w:r>
      <w:r>
        <w:rPr>
          <w:rFonts w:hint="eastAsia" w:ascii="宋体" w:hAnsi="宋体" w:cs="宋体"/>
          <w:b/>
          <w:snapToGrid w:val="0"/>
          <w:kern w:val="0"/>
          <w:szCs w:val="21"/>
        </w:rPr>
        <w:t>每张表格只填写一个项目，并标明序号</w:t>
      </w:r>
      <w:r>
        <w:rPr>
          <w:rFonts w:hint="eastAsia" w:ascii="宋体" w:hAnsi="宋体" w:cs="宋体"/>
          <w:snapToGrid w:val="0"/>
          <w:kern w:val="0"/>
          <w:szCs w:val="21"/>
        </w:rPr>
        <w:t>。</w:t>
      </w:r>
    </w:p>
    <w:p>
      <w:pPr>
        <w:pStyle w:val="4"/>
        <w:snapToGrid w:val="0"/>
        <w:spacing w:before="0" w:after="0" w:line="360" w:lineRule="auto"/>
        <w:rPr>
          <w:rFonts w:ascii="宋体" w:hAnsi="宋体" w:cs="宋体"/>
          <w:snapToGrid w:val="0"/>
        </w:rPr>
      </w:pPr>
      <w:bookmarkStart w:id="152" w:name="_Toc287620710"/>
      <w:bookmarkStart w:id="153" w:name="_Toc287607771"/>
      <w:bookmarkStart w:id="154" w:name="_Toc277082577"/>
      <w:bookmarkStart w:id="155" w:name="_Toc224103342"/>
      <w:bookmarkStart w:id="156" w:name="_Toc200513151"/>
      <w:r>
        <w:rPr>
          <w:rFonts w:hint="eastAsia" w:ascii="宋体" w:hAnsi="宋体" w:cs="宋体"/>
          <w:snapToGrid w:val="0"/>
        </w:rPr>
        <w:t>3.6  备选投标方案</w:t>
      </w:r>
      <w:bookmarkEnd w:id="152"/>
      <w:bookmarkEnd w:id="153"/>
      <w:bookmarkEnd w:id="154"/>
      <w:bookmarkEnd w:id="155"/>
      <w:bookmarkEnd w:id="156"/>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投标人不得递交备选投标方案。</w:t>
      </w:r>
    </w:p>
    <w:p>
      <w:pPr>
        <w:pStyle w:val="4"/>
        <w:snapToGrid w:val="0"/>
        <w:spacing w:before="0" w:after="0" w:line="360" w:lineRule="auto"/>
        <w:rPr>
          <w:rFonts w:ascii="宋体" w:hAnsi="宋体" w:cs="宋体"/>
          <w:snapToGrid w:val="0"/>
        </w:rPr>
      </w:pPr>
      <w:bookmarkStart w:id="157" w:name="_Toc277082578"/>
      <w:bookmarkStart w:id="158" w:name="_Toc287620711"/>
      <w:bookmarkStart w:id="159" w:name="_Toc287607772"/>
      <w:bookmarkStart w:id="160" w:name="_Toc224103343"/>
      <w:bookmarkStart w:id="161" w:name="_Toc200513152"/>
      <w:r>
        <w:rPr>
          <w:rFonts w:hint="eastAsia" w:ascii="宋体" w:hAnsi="宋体" w:cs="宋体"/>
          <w:snapToGrid w:val="0"/>
        </w:rPr>
        <w:t>3.7  投标文件的编制</w:t>
      </w:r>
      <w:bookmarkEnd w:id="157"/>
      <w:bookmarkEnd w:id="158"/>
      <w:bookmarkEnd w:id="159"/>
      <w:bookmarkEnd w:id="160"/>
      <w:bookmarkEnd w:id="161"/>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3.7.1投标文件应按第六章“投标文件格式”进行编写，如有必要，可以增加附页，作为投标文件的组成部分。其中，投标函附录在满足招标文件实质性要求的基础上，可以提出比招标文件要求更有利于招标人的承诺。</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3.7.2投标文件应当对招标文件有关工期、投标有效期、质量要求、招标范围等实质性内容做出响应。</w:t>
      </w:r>
    </w:p>
    <w:p>
      <w:pPr>
        <w:autoSpaceDE w:val="0"/>
        <w:autoSpaceDN w:val="0"/>
        <w:adjustRightInd w:val="0"/>
        <w:snapToGrid w:val="0"/>
        <w:spacing w:line="360" w:lineRule="auto"/>
        <w:ind w:firstLine="424" w:firstLineChars="202"/>
        <w:jc w:val="left"/>
        <w:rPr>
          <w:rFonts w:ascii="宋体" w:hAnsi="宋体" w:cs="宋体"/>
          <w:snapToGrid w:val="0"/>
          <w:kern w:val="0"/>
          <w:szCs w:val="21"/>
        </w:rPr>
      </w:pPr>
      <w:r>
        <w:rPr>
          <w:rFonts w:hint="eastAsia" w:ascii="宋体" w:hAnsi="宋体" w:cs="宋体"/>
          <w:snapToGrid w:val="0"/>
          <w:kern w:val="0"/>
          <w:position w:val="-2"/>
          <w:szCs w:val="21"/>
        </w:rPr>
        <w:t>3.7.3投标文件应用不褪色的材料书写或打印，并由投标人的法定代表人或其委托代理</w:t>
      </w:r>
      <w:r>
        <w:rPr>
          <w:rFonts w:hint="eastAsia" w:ascii="宋体" w:hAnsi="宋体" w:cs="宋体"/>
          <w:snapToGrid w:val="0"/>
          <w:kern w:val="0"/>
          <w:szCs w:val="21"/>
        </w:rPr>
        <w:t>人签字、盖单位章。委托代理人签字的，投标文件应附法定代表人签署的授权委托书。投标文件应尽量避免涂改、行间插字或删除。如果出现上述情况，改动之处应加盖单位公章或由投标人的法定代表人或其授权的代理人签字确认。签字或盖章的具体要求见投标人须知前附表。</w:t>
      </w:r>
    </w:p>
    <w:p>
      <w:pPr>
        <w:autoSpaceDE w:val="0"/>
        <w:autoSpaceDN w:val="0"/>
        <w:adjustRightInd w:val="0"/>
        <w:snapToGrid w:val="0"/>
        <w:spacing w:line="360" w:lineRule="auto"/>
        <w:ind w:right="-164" w:firstLine="426"/>
        <w:jc w:val="left"/>
        <w:rPr>
          <w:rFonts w:ascii="宋体" w:hAnsi="宋体" w:cs="宋体"/>
          <w:snapToGrid w:val="0"/>
          <w:kern w:val="0"/>
          <w:szCs w:val="21"/>
        </w:rPr>
      </w:pPr>
      <w:r>
        <w:rPr>
          <w:rFonts w:hint="eastAsia" w:ascii="宋体" w:hAnsi="宋体" w:cs="宋体"/>
          <w:snapToGrid w:val="0"/>
          <w:kern w:val="0"/>
          <w:szCs w:val="21"/>
        </w:rPr>
        <w:t>3.7.4投标文件正本一份，副本份数见投标人须知前附表，正本和副本的封面上应清楚地标记“正本”或“副本”的字样，正本和副本封面均须加盖单位公章（鲜章）。当副本和正本不一致时，以正本为准。</w:t>
      </w:r>
    </w:p>
    <w:p>
      <w:pPr>
        <w:autoSpaceDE w:val="0"/>
        <w:autoSpaceDN w:val="0"/>
        <w:adjustRightInd w:val="0"/>
        <w:snapToGrid w:val="0"/>
        <w:spacing w:line="360" w:lineRule="auto"/>
        <w:ind w:right="-109" w:firstLine="426"/>
        <w:jc w:val="left"/>
        <w:rPr>
          <w:rFonts w:ascii="宋体" w:hAnsi="宋体" w:cs="宋体"/>
          <w:snapToGrid w:val="0"/>
          <w:kern w:val="0"/>
          <w:szCs w:val="21"/>
        </w:rPr>
      </w:pPr>
      <w:r>
        <w:rPr>
          <w:rFonts w:hint="eastAsia" w:ascii="宋体" w:hAnsi="宋体" w:cs="宋体"/>
          <w:snapToGrid w:val="0"/>
          <w:kern w:val="0"/>
          <w:szCs w:val="21"/>
        </w:rPr>
        <w:t>3.7.5投标文件的正本与副本应分别装订成册，并编制目录，具体装订要求见投标人须知前附表规定。</w:t>
      </w:r>
    </w:p>
    <w:p>
      <w:pPr>
        <w:pStyle w:val="3"/>
        <w:spacing w:before="0" w:after="0"/>
        <w:rPr>
          <w:rFonts w:ascii="宋体" w:hAnsi="宋体" w:cs="宋体"/>
          <w:snapToGrid w:val="0"/>
        </w:rPr>
      </w:pPr>
      <w:bookmarkStart w:id="162" w:name="_Toc287620712"/>
      <w:bookmarkStart w:id="163" w:name="_Toc287607773"/>
      <w:bookmarkStart w:id="164" w:name="_Toc277082579"/>
      <w:bookmarkStart w:id="165" w:name="_Toc224103344"/>
      <w:bookmarkStart w:id="166" w:name="_Toc200513153"/>
      <w:r>
        <w:rPr>
          <w:rFonts w:hint="eastAsia" w:ascii="宋体" w:hAnsi="宋体" w:cs="宋体"/>
          <w:snapToGrid w:val="0"/>
        </w:rPr>
        <w:t>4.  投标</w:t>
      </w:r>
      <w:bookmarkEnd w:id="162"/>
      <w:bookmarkEnd w:id="163"/>
      <w:bookmarkEnd w:id="164"/>
      <w:bookmarkEnd w:id="165"/>
      <w:bookmarkEnd w:id="166"/>
    </w:p>
    <w:p>
      <w:pPr>
        <w:pStyle w:val="4"/>
        <w:snapToGrid w:val="0"/>
        <w:spacing w:before="0" w:after="0" w:line="360" w:lineRule="auto"/>
        <w:rPr>
          <w:rFonts w:ascii="宋体" w:hAnsi="宋体" w:cs="宋体"/>
          <w:snapToGrid w:val="0"/>
        </w:rPr>
      </w:pPr>
      <w:bookmarkStart w:id="167" w:name="_Toc287620713"/>
      <w:bookmarkStart w:id="168" w:name="_Toc287607774"/>
      <w:bookmarkStart w:id="169" w:name="_Toc277082580"/>
      <w:bookmarkStart w:id="170" w:name="_Toc224103345"/>
      <w:bookmarkStart w:id="171" w:name="_Toc200513154"/>
      <w:r>
        <w:rPr>
          <w:rFonts w:hint="eastAsia" w:ascii="宋体" w:hAnsi="宋体" w:cs="宋体"/>
          <w:snapToGrid w:val="0"/>
        </w:rPr>
        <w:t>4.1  投标文件的密封和标记</w:t>
      </w:r>
      <w:bookmarkEnd w:id="167"/>
      <w:bookmarkEnd w:id="168"/>
      <w:bookmarkEnd w:id="169"/>
      <w:bookmarkEnd w:id="170"/>
      <w:bookmarkEnd w:id="171"/>
    </w:p>
    <w:p>
      <w:pPr>
        <w:autoSpaceDE w:val="0"/>
        <w:autoSpaceDN w:val="0"/>
        <w:adjustRightInd w:val="0"/>
        <w:snapToGrid w:val="0"/>
        <w:spacing w:line="360" w:lineRule="auto"/>
        <w:ind w:left="359" w:leftChars="171"/>
        <w:jc w:val="left"/>
        <w:rPr>
          <w:rFonts w:ascii="宋体" w:hAnsi="宋体" w:cs="宋体"/>
          <w:snapToGrid w:val="0"/>
          <w:kern w:val="0"/>
          <w:szCs w:val="21"/>
        </w:rPr>
      </w:pPr>
      <w:bookmarkStart w:id="172" w:name="_Toc200513155"/>
      <w:r>
        <w:rPr>
          <w:rFonts w:hint="eastAsia" w:ascii="宋体" w:hAnsi="宋体" w:cs="宋体"/>
          <w:snapToGrid w:val="0"/>
          <w:kern w:val="0"/>
          <w:szCs w:val="21"/>
        </w:rPr>
        <w:t>4.1.1  投标文件的正本与副本密封见投标人须知前附表。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4.1.2  投标文件的封套上应写明的内容见投标人须知前附表。</w:t>
      </w:r>
    </w:p>
    <w:p>
      <w:pPr>
        <w:autoSpaceDE w:val="0"/>
        <w:autoSpaceDN w:val="0"/>
        <w:adjustRightInd w:val="0"/>
        <w:snapToGrid w:val="0"/>
        <w:spacing w:line="360" w:lineRule="auto"/>
        <w:ind w:left="13" w:leftChars="6" w:firstLine="344" w:firstLineChars="164"/>
        <w:jc w:val="left"/>
        <w:rPr>
          <w:rFonts w:ascii="宋体" w:hAnsi="宋体" w:cs="宋体"/>
          <w:snapToGrid w:val="0"/>
          <w:kern w:val="0"/>
          <w:szCs w:val="21"/>
        </w:rPr>
      </w:pPr>
      <w:r>
        <w:rPr>
          <w:rFonts w:hint="eastAsia" w:ascii="宋体" w:hAnsi="宋体" w:cs="宋体"/>
          <w:snapToGrid w:val="0"/>
          <w:kern w:val="0"/>
          <w:szCs w:val="21"/>
        </w:rPr>
        <w:t>4.1.3未按本章第 4.1.1 项或第 4.1.2 项要求密封和加写标记的投标文件，招标人不予受理。</w:t>
      </w:r>
    </w:p>
    <w:p>
      <w:pPr>
        <w:pStyle w:val="4"/>
        <w:snapToGrid w:val="0"/>
        <w:spacing w:before="0" w:after="0" w:line="360" w:lineRule="auto"/>
        <w:rPr>
          <w:rFonts w:ascii="宋体" w:hAnsi="宋体" w:cs="宋体"/>
          <w:snapToGrid w:val="0"/>
        </w:rPr>
      </w:pPr>
      <w:bookmarkStart w:id="173" w:name="_Toc287620714"/>
      <w:bookmarkStart w:id="174" w:name="_Toc287607775"/>
      <w:bookmarkStart w:id="175" w:name="_Toc224103346"/>
      <w:bookmarkStart w:id="176" w:name="_Toc277082581"/>
      <w:r>
        <w:rPr>
          <w:rFonts w:hint="eastAsia" w:ascii="宋体" w:hAnsi="宋体" w:cs="宋体"/>
          <w:snapToGrid w:val="0"/>
        </w:rPr>
        <w:t>4.2  投标文件的递交</w:t>
      </w:r>
      <w:bookmarkEnd w:id="172"/>
      <w:bookmarkEnd w:id="173"/>
      <w:bookmarkEnd w:id="174"/>
      <w:bookmarkEnd w:id="175"/>
      <w:bookmarkEnd w:id="176"/>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4.2.1投标人应在本章第 2.2.2 项规定的投标截止时间前递交投标文件。</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4.2.2投标人递交投标文件的地点：见投标人须知前附表。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4.2.3除投标人须知前附表另有规定外，投标人所递交的投标文件不予退还。</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4.2.4逾期送达的或者未送达指定地点的投标文件，招标人不予受理。</w:t>
      </w:r>
    </w:p>
    <w:p>
      <w:pPr>
        <w:pStyle w:val="4"/>
        <w:snapToGrid w:val="0"/>
        <w:spacing w:before="0" w:after="0" w:line="360" w:lineRule="auto"/>
        <w:rPr>
          <w:rFonts w:ascii="宋体" w:hAnsi="宋体" w:cs="宋体"/>
          <w:snapToGrid w:val="0"/>
        </w:rPr>
      </w:pPr>
      <w:bookmarkStart w:id="177" w:name="_Toc287620715"/>
      <w:bookmarkStart w:id="178" w:name="_Toc287607776"/>
      <w:bookmarkStart w:id="179" w:name="_Toc277082582"/>
      <w:bookmarkStart w:id="180" w:name="_Toc224103347"/>
      <w:bookmarkStart w:id="181" w:name="_Toc200513156"/>
      <w:r>
        <w:rPr>
          <w:rFonts w:hint="eastAsia" w:ascii="宋体" w:hAnsi="宋体" w:cs="宋体"/>
          <w:snapToGrid w:val="0"/>
        </w:rPr>
        <w:t>4.3  投标文件的修改与撤回</w:t>
      </w:r>
      <w:bookmarkEnd w:id="177"/>
      <w:bookmarkEnd w:id="178"/>
      <w:bookmarkEnd w:id="179"/>
      <w:bookmarkEnd w:id="180"/>
      <w:bookmarkEnd w:id="18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4.3.1在本章第2.2.2项规定的投标截止时间前，投标人可以修改或撤回已递交的投标文件，但应以书面形式通知招标人。</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4.3.2投标人修改或撤回已递交投标文件的书面通知应按照本章第3.7.3项的要求签字或盖章。招标人收到书面通知后，向投标人出具签收凭证。</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4.3.3修改的内容为投标文件的组成部分。修改的投标文件应按照本章第3条、第4条规定进行编制、密封、标记和递交，并标明“修改”字样。</w:t>
      </w:r>
      <w:bookmarkStart w:id="182" w:name="_Toc200513157"/>
      <w:bookmarkStart w:id="183" w:name="_Toc224103348"/>
      <w:bookmarkStart w:id="184" w:name="_Toc277082583"/>
      <w:bookmarkStart w:id="185" w:name="_Toc287607777"/>
      <w:bookmarkStart w:id="186" w:name="_Toc287620716"/>
    </w:p>
    <w:p>
      <w:pPr>
        <w:pStyle w:val="3"/>
        <w:spacing w:before="0" w:after="0"/>
        <w:rPr>
          <w:rFonts w:ascii="宋体" w:hAnsi="宋体" w:cs="宋体"/>
          <w:snapToGrid w:val="0"/>
        </w:rPr>
      </w:pPr>
      <w:r>
        <w:rPr>
          <w:rFonts w:hint="eastAsia" w:ascii="宋体" w:hAnsi="宋体" w:cs="宋体"/>
          <w:snapToGrid w:val="0"/>
        </w:rPr>
        <w:t>5.  开标</w:t>
      </w:r>
      <w:bookmarkEnd w:id="182"/>
      <w:bookmarkEnd w:id="183"/>
      <w:bookmarkEnd w:id="184"/>
      <w:bookmarkEnd w:id="185"/>
      <w:bookmarkEnd w:id="186"/>
    </w:p>
    <w:p>
      <w:pPr>
        <w:pStyle w:val="4"/>
        <w:snapToGrid w:val="0"/>
        <w:spacing w:before="0" w:after="0" w:line="360" w:lineRule="auto"/>
        <w:rPr>
          <w:rFonts w:ascii="宋体" w:hAnsi="宋体" w:cs="宋体"/>
          <w:snapToGrid w:val="0"/>
        </w:rPr>
      </w:pPr>
      <w:bookmarkStart w:id="187" w:name="_Toc200513158"/>
      <w:bookmarkStart w:id="188" w:name="_Toc224103349"/>
      <w:bookmarkStart w:id="189" w:name="_Toc277082584"/>
      <w:bookmarkStart w:id="190" w:name="_Toc287607778"/>
      <w:bookmarkStart w:id="191" w:name="_Toc287620717"/>
      <w:r>
        <w:rPr>
          <w:rFonts w:hint="eastAsia" w:ascii="宋体" w:hAnsi="宋体" w:cs="宋体"/>
          <w:snapToGrid w:val="0"/>
        </w:rPr>
        <w:t>5.1  开标时间和地点</w:t>
      </w:r>
      <w:bookmarkEnd w:id="187"/>
      <w:bookmarkEnd w:id="188"/>
      <w:bookmarkEnd w:id="189"/>
      <w:bookmarkEnd w:id="190"/>
      <w:bookmarkEnd w:id="19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安投标人须知前附表规定的时间、地点开标。</w:t>
      </w:r>
    </w:p>
    <w:p>
      <w:pPr>
        <w:pStyle w:val="4"/>
        <w:snapToGrid w:val="0"/>
        <w:spacing w:before="0" w:after="0" w:line="360" w:lineRule="auto"/>
        <w:rPr>
          <w:rFonts w:ascii="宋体" w:hAnsi="宋体" w:cs="宋体"/>
          <w:snapToGrid w:val="0"/>
        </w:rPr>
      </w:pPr>
      <w:bookmarkStart w:id="192" w:name="_Toc200513159"/>
      <w:bookmarkStart w:id="193" w:name="_Toc224103350"/>
      <w:bookmarkStart w:id="194" w:name="_Toc277082585"/>
      <w:bookmarkStart w:id="195" w:name="_Toc287607779"/>
      <w:bookmarkStart w:id="196" w:name="_Toc287620718"/>
      <w:r>
        <w:rPr>
          <w:rFonts w:hint="eastAsia" w:ascii="宋体" w:hAnsi="宋体" w:cs="宋体"/>
          <w:snapToGrid w:val="0"/>
        </w:rPr>
        <w:t>5.2  开标程序</w:t>
      </w:r>
      <w:bookmarkEnd w:id="192"/>
      <w:bookmarkEnd w:id="193"/>
      <w:bookmarkEnd w:id="194"/>
      <w:bookmarkEnd w:id="195"/>
      <w:bookmarkEnd w:id="196"/>
    </w:p>
    <w:p>
      <w:pPr>
        <w:rPr>
          <w:rFonts w:ascii="宋体" w:hAnsi="宋体" w:cs="宋体"/>
        </w:rPr>
      </w:pPr>
      <w:r>
        <w:rPr>
          <w:rFonts w:hint="eastAsia" w:ascii="宋体" w:hAnsi="宋体" w:cs="宋体"/>
        </w:rPr>
        <w:t>见前附表。</w:t>
      </w:r>
    </w:p>
    <w:p>
      <w:pPr>
        <w:pStyle w:val="3"/>
        <w:spacing w:before="0" w:after="0"/>
        <w:rPr>
          <w:rFonts w:ascii="宋体" w:hAnsi="宋体" w:cs="宋体"/>
          <w:snapToGrid w:val="0"/>
        </w:rPr>
      </w:pPr>
      <w:bookmarkStart w:id="197" w:name="_Toc200513160"/>
      <w:bookmarkStart w:id="198" w:name="_Toc224103351"/>
      <w:bookmarkStart w:id="199" w:name="_Toc277082586"/>
      <w:bookmarkStart w:id="200" w:name="_Toc287607780"/>
      <w:bookmarkStart w:id="201" w:name="_Toc287620719"/>
      <w:r>
        <w:rPr>
          <w:rFonts w:hint="eastAsia" w:ascii="宋体" w:hAnsi="宋体" w:cs="宋体"/>
          <w:snapToGrid w:val="0"/>
        </w:rPr>
        <w:t>6.  评标</w:t>
      </w:r>
      <w:bookmarkEnd w:id="197"/>
      <w:bookmarkEnd w:id="198"/>
      <w:bookmarkEnd w:id="199"/>
      <w:bookmarkEnd w:id="200"/>
      <w:bookmarkEnd w:id="201"/>
    </w:p>
    <w:p>
      <w:pPr>
        <w:pStyle w:val="4"/>
        <w:snapToGrid w:val="0"/>
        <w:spacing w:before="0" w:after="0" w:line="360" w:lineRule="auto"/>
        <w:rPr>
          <w:rFonts w:ascii="宋体" w:hAnsi="宋体" w:cs="宋体"/>
          <w:snapToGrid w:val="0"/>
        </w:rPr>
      </w:pPr>
      <w:bookmarkStart w:id="202" w:name="_Toc200513161"/>
      <w:bookmarkStart w:id="203" w:name="_Toc224103352"/>
      <w:bookmarkStart w:id="204" w:name="_Toc277082587"/>
      <w:bookmarkStart w:id="205" w:name="_Toc287607781"/>
      <w:bookmarkStart w:id="206" w:name="_Toc287620720"/>
      <w:r>
        <w:rPr>
          <w:rFonts w:hint="eastAsia" w:ascii="宋体" w:hAnsi="宋体" w:cs="宋体"/>
          <w:snapToGrid w:val="0"/>
        </w:rPr>
        <w:t>6.1  评标委员会</w:t>
      </w:r>
      <w:bookmarkEnd w:id="202"/>
      <w:bookmarkEnd w:id="203"/>
      <w:bookmarkEnd w:id="204"/>
      <w:bookmarkEnd w:id="205"/>
      <w:bookmarkEnd w:id="206"/>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6.1.1评标由招标人依法组建的评标委员会负责。</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6.1.2评标委员会成员有下列情形之一的，应当回避：</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（1）招标人或投标人的主要负责人的近亲属；</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（2）项目主管部门或者行政监督部门的人员；</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（3）与投标人有利害关系，可能影响对投标公正评审的；</w:t>
      </w:r>
    </w:p>
    <w:p>
      <w:pPr>
        <w:autoSpaceDE w:val="0"/>
        <w:autoSpaceDN w:val="0"/>
        <w:adjustRightInd w:val="0"/>
        <w:snapToGrid w:val="0"/>
        <w:spacing w:line="360" w:lineRule="auto"/>
        <w:ind w:firstLine="363" w:firstLineChars="173"/>
        <w:jc w:val="left"/>
        <w:rPr>
          <w:rFonts w:ascii="宋体" w:hAnsi="宋体" w:cs="宋体"/>
          <w:snapToGrid w:val="0"/>
          <w:kern w:val="0"/>
          <w:szCs w:val="21"/>
        </w:rPr>
      </w:pPr>
      <w:r>
        <w:rPr>
          <w:rFonts w:hint="eastAsia" w:ascii="宋体" w:hAnsi="宋体" w:cs="宋体"/>
          <w:snapToGrid w:val="0"/>
          <w:kern w:val="0"/>
          <w:szCs w:val="21"/>
        </w:rPr>
        <w:t>（4）曾因在招标、评标以及其他与招标投标有关活动中从事违法行为而受过行政处罚或刑事处罚的。</w:t>
      </w:r>
    </w:p>
    <w:p>
      <w:pPr>
        <w:pStyle w:val="4"/>
        <w:snapToGrid w:val="0"/>
        <w:spacing w:before="0" w:after="0" w:line="360" w:lineRule="auto"/>
        <w:rPr>
          <w:rFonts w:ascii="宋体" w:hAnsi="宋体" w:cs="宋体"/>
          <w:snapToGrid w:val="0"/>
        </w:rPr>
      </w:pPr>
      <w:bookmarkStart w:id="207" w:name="_Toc287607782"/>
      <w:bookmarkStart w:id="208" w:name="_Toc200513162"/>
      <w:bookmarkStart w:id="209" w:name="_Toc224103353"/>
      <w:bookmarkStart w:id="210" w:name="_Toc277082588"/>
      <w:bookmarkStart w:id="211" w:name="_Toc287620721"/>
      <w:r>
        <w:rPr>
          <w:rFonts w:hint="eastAsia" w:ascii="宋体" w:hAnsi="宋体" w:cs="宋体"/>
          <w:snapToGrid w:val="0"/>
        </w:rPr>
        <w:t>6.2  评标原则</w:t>
      </w:r>
      <w:bookmarkEnd w:id="207"/>
      <w:bookmarkEnd w:id="208"/>
      <w:bookmarkEnd w:id="209"/>
      <w:bookmarkEnd w:id="210"/>
      <w:bookmarkEnd w:id="211"/>
    </w:p>
    <w:p>
      <w:pPr>
        <w:autoSpaceDE w:val="0"/>
        <w:autoSpaceDN w:val="0"/>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 xml:space="preserve">    评标活动遵循公平、公正、科学和择优的原则。</w:t>
      </w:r>
    </w:p>
    <w:p>
      <w:pPr>
        <w:pStyle w:val="4"/>
        <w:snapToGrid w:val="0"/>
        <w:spacing w:before="0" w:after="0" w:line="360" w:lineRule="auto"/>
        <w:rPr>
          <w:rFonts w:ascii="宋体" w:hAnsi="宋体" w:cs="宋体"/>
          <w:snapToGrid w:val="0"/>
        </w:rPr>
      </w:pPr>
      <w:bookmarkStart w:id="212" w:name="_Toc200513163"/>
      <w:bookmarkStart w:id="213" w:name="_Toc224103354"/>
      <w:bookmarkStart w:id="214" w:name="_Toc277082589"/>
      <w:bookmarkStart w:id="215" w:name="_Toc287607783"/>
      <w:bookmarkStart w:id="216" w:name="_Toc287620722"/>
      <w:r>
        <w:rPr>
          <w:rFonts w:hint="eastAsia" w:ascii="宋体" w:hAnsi="宋体" w:cs="宋体"/>
          <w:snapToGrid w:val="0"/>
        </w:rPr>
        <w:t>6.3  评标</w:t>
      </w:r>
      <w:bookmarkEnd w:id="212"/>
      <w:bookmarkEnd w:id="213"/>
      <w:bookmarkEnd w:id="214"/>
      <w:bookmarkEnd w:id="215"/>
      <w:bookmarkEnd w:id="21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评标委员会按照第三章“评标办法”规定的方法、评审因素、标准和程序对投标文件进行评审。第三章“评标办法”没有规定的方法、评审因素和标准，不得作为评标依据。</w:t>
      </w:r>
    </w:p>
    <w:p>
      <w:pPr>
        <w:pStyle w:val="3"/>
        <w:spacing w:before="0" w:after="0"/>
        <w:rPr>
          <w:rFonts w:ascii="宋体" w:hAnsi="宋体" w:cs="宋体"/>
          <w:snapToGrid w:val="0"/>
        </w:rPr>
      </w:pPr>
      <w:bookmarkStart w:id="217" w:name="_Toc200513164"/>
      <w:bookmarkStart w:id="218" w:name="_Toc224103355"/>
      <w:bookmarkStart w:id="219" w:name="_Toc277082590"/>
      <w:bookmarkStart w:id="220" w:name="_Toc287607784"/>
      <w:bookmarkStart w:id="221" w:name="_Toc287620723"/>
      <w:r>
        <w:rPr>
          <w:rFonts w:hint="eastAsia" w:ascii="宋体" w:hAnsi="宋体" w:cs="宋体"/>
          <w:snapToGrid w:val="0"/>
        </w:rPr>
        <w:t>7.  合同授予</w:t>
      </w:r>
      <w:bookmarkEnd w:id="217"/>
      <w:bookmarkEnd w:id="218"/>
      <w:bookmarkEnd w:id="219"/>
      <w:bookmarkEnd w:id="220"/>
      <w:bookmarkEnd w:id="221"/>
    </w:p>
    <w:p>
      <w:pPr>
        <w:pStyle w:val="4"/>
        <w:snapToGrid w:val="0"/>
        <w:spacing w:before="0" w:after="0" w:line="360" w:lineRule="auto"/>
        <w:rPr>
          <w:rFonts w:ascii="宋体" w:hAnsi="宋体" w:cs="宋体"/>
          <w:snapToGrid w:val="0"/>
        </w:rPr>
      </w:pPr>
      <w:bookmarkStart w:id="222" w:name="_Toc200513165"/>
      <w:bookmarkStart w:id="223" w:name="_Toc224103356"/>
      <w:bookmarkStart w:id="224" w:name="_Toc277082591"/>
      <w:bookmarkStart w:id="225" w:name="_Toc287607785"/>
      <w:bookmarkStart w:id="226" w:name="_Toc287620724"/>
      <w:r>
        <w:rPr>
          <w:rFonts w:hint="eastAsia" w:ascii="宋体" w:hAnsi="宋体" w:cs="宋体"/>
          <w:snapToGrid w:val="0"/>
        </w:rPr>
        <w:t>7.1  定标方式</w:t>
      </w:r>
      <w:bookmarkEnd w:id="222"/>
      <w:bookmarkEnd w:id="223"/>
      <w:bookmarkEnd w:id="224"/>
      <w:bookmarkEnd w:id="225"/>
      <w:bookmarkEnd w:id="226"/>
    </w:p>
    <w:p>
      <w:pPr>
        <w:autoSpaceDE w:val="0"/>
        <w:autoSpaceDN w:val="0"/>
        <w:adjustRightInd w:val="0"/>
        <w:snapToGrid w:val="0"/>
        <w:spacing w:line="360" w:lineRule="auto"/>
        <w:ind w:firstLine="840" w:firstLineChars="400"/>
        <w:jc w:val="left"/>
        <w:rPr>
          <w:rFonts w:ascii="宋体" w:hAnsi="宋体" w:cs="宋体"/>
          <w:snapToGrid w:val="0"/>
          <w:kern w:val="0"/>
          <w:szCs w:val="21"/>
        </w:rPr>
      </w:pPr>
      <w:r>
        <w:rPr>
          <w:rFonts w:hint="eastAsia" w:ascii="宋体" w:hAnsi="宋体" w:cs="宋体"/>
          <w:snapToGrid w:val="0"/>
          <w:kern w:val="0"/>
          <w:szCs w:val="21"/>
        </w:rPr>
        <w:t>见评标办法。</w:t>
      </w:r>
    </w:p>
    <w:p>
      <w:pPr>
        <w:pStyle w:val="4"/>
        <w:snapToGrid w:val="0"/>
        <w:spacing w:before="0" w:after="0" w:line="360" w:lineRule="auto"/>
        <w:rPr>
          <w:rFonts w:ascii="宋体" w:hAnsi="宋体" w:cs="宋体"/>
          <w:snapToGrid w:val="0"/>
        </w:rPr>
      </w:pPr>
      <w:bookmarkStart w:id="227" w:name="_Toc200513166"/>
      <w:bookmarkStart w:id="228" w:name="_Toc224103357"/>
      <w:bookmarkStart w:id="229" w:name="_Toc277082592"/>
      <w:bookmarkStart w:id="230" w:name="_Toc287607786"/>
      <w:bookmarkStart w:id="231" w:name="_Toc287620725"/>
      <w:r>
        <w:rPr>
          <w:rFonts w:hint="eastAsia" w:ascii="宋体" w:hAnsi="宋体" w:cs="宋体"/>
          <w:snapToGrid w:val="0"/>
        </w:rPr>
        <w:t>7.2  中标通知</w:t>
      </w:r>
      <w:bookmarkEnd w:id="227"/>
      <w:bookmarkEnd w:id="228"/>
      <w:bookmarkEnd w:id="229"/>
      <w:bookmarkEnd w:id="230"/>
      <w:bookmarkEnd w:id="23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在本章第 3.3 款规定的投标有效期内，招标人以书面形式向中标人发出中标通知书，同时将中标结果通知未中标的投标人。</w:t>
      </w:r>
    </w:p>
    <w:p>
      <w:pPr>
        <w:pStyle w:val="4"/>
        <w:snapToGrid w:val="0"/>
        <w:spacing w:before="0" w:after="0" w:line="360" w:lineRule="auto"/>
        <w:rPr>
          <w:rFonts w:ascii="宋体" w:hAnsi="宋体" w:cs="宋体"/>
          <w:b w:val="0"/>
          <w:bCs w:val="0"/>
          <w:snapToGrid w:val="0"/>
          <w:kern w:val="0"/>
          <w:sz w:val="21"/>
          <w:szCs w:val="21"/>
        </w:rPr>
      </w:pPr>
      <w:bookmarkStart w:id="232" w:name="_Toc200513167"/>
      <w:bookmarkStart w:id="233" w:name="_Toc224103358"/>
      <w:bookmarkStart w:id="234" w:name="_Toc277082593"/>
      <w:bookmarkStart w:id="235" w:name="_Toc287607787"/>
      <w:bookmarkStart w:id="236" w:name="_Toc287620726"/>
      <w:r>
        <w:rPr>
          <w:rFonts w:hint="eastAsia" w:ascii="宋体" w:hAnsi="宋体" w:cs="宋体"/>
          <w:snapToGrid w:val="0"/>
        </w:rPr>
        <w:t>7.3  履约担保</w:t>
      </w:r>
      <w:bookmarkEnd w:id="232"/>
      <w:bookmarkEnd w:id="233"/>
      <w:bookmarkEnd w:id="234"/>
      <w:bookmarkEnd w:id="235"/>
      <w:bookmarkEnd w:id="236"/>
      <w:bookmarkStart w:id="237" w:name="_Toc200513168"/>
      <w:bookmarkStart w:id="238" w:name="_Toc224103359"/>
      <w:bookmarkStart w:id="239" w:name="_Toc277082594"/>
      <w:bookmarkStart w:id="240" w:name="_Toc287607788"/>
      <w:bookmarkStart w:id="241" w:name="_Toc287620727"/>
    </w:p>
    <w:p>
      <w:pPr>
        <w:ind w:firstLine="518" w:firstLineChars="247"/>
        <w:rPr>
          <w:rFonts w:ascii="宋体" w:hAnsi="宋体" w:cs="宋体"/>
          <w:snapToGrid w:val="0"/>
          <w:kern w:val="0"/>
          <w:szCs w:val="21"/>
        </w:rPr>
      </w:pPr>
      <w:r>
        <w:rPr>
          <w:rFonts w:hint="eastAsia" w:ascii="宋体" w:hAnsi="宋体" w:cs="宋体"/>
          <w:snapToGrid w:val="0"/>
          <w:kern w:val="0"/>
          <w:szCs w:val="21"/>
        </w:rPr>
        <w:t>见投标人须知前附表。</w:t>
      </w:r>
    </w:p>
    <w:p>
      <w:pPr>
        <w:pStyle w:val="4"/>
        <w:snapToGrid w:val="0"/>
        <w:spacing w:before="0" w:after="0" w:line="360" w:lineRule="auto"/>
        <w:rPr>
          <w:rFonts w:ascii="宋体" w:hAnsi="宋体" w:cs="宋体"/>
          <w:snapToGrid w:val="0"/>
        </w:rPr>
      </w:pPr>
      <w:r>
        <w:rPr>
          <w:rFonts w:hint="eastAsia" w:ascii="宋体" w:hAnsi="宋体" w:cs="宋体"/>
          <w:snapToGrid w:val="0"/>
        </w:rPr>
        <w:t>7.4  签订合同</w:t>
      </w:r>
      <w:bookmarkEnd w:id="237"/>
      <w:bookmarkEnd w:id="238"/>
      <w:bookmarkEnd w:id="239"/>
      <w:bookmarkEnd w:id="240"/>
      <w:bookmarkEnd w:id="241"/>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7.4.1招标人和中标人应当自中标通知书发出之日起 30 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7.4.2发出中标通知书后，招标人无正当理由拒签合同的，招标人向中标人退还投标保证金；给中标人造成损失的，还应当赔偿损失。</w:t>
      </w:r>
    </w:p>
    <w:p>
      <w:pPr>
        <w:pStyle w:val="3"/>
        <w:spacing w:before="0" w:after="0"/>
        <w:rPr>
          <w:rFonts w:ascii="宋体" w:hAnsi="宋体" w:cs="宋体"/>
          <w:snapToGrid w:val="0"/>
        </w:rPr>
      </w:pPr>
      <w:bookmarkStart w:id="242" w:name="_Toc200513169"/>
      <w:bookmarkStart w:id="243" w:name="_Toc224103360"/>
      <w:bookmarkStart w:id="244" w:name="_Toc277082595"/>
      <w:bookmarkStart w:id="245" w:name="_Toc287607789"/>
      <w:bookmarkStart w:id="246" w:name="_Toc287620728"/>
      <w:r>
        <w:rPr>
          <w:rFonts w:hint="eastAsia" w:ascii="宋体" w:hAnsi="宋体" w:cs="宋体"/>
          <w:snapToGrid w:val="0"/>
        </w:rPr>
        <w:t>8.  重新招标</w:t>
      </w:r>
      <w:bookmarkEnd w:id="242"/>
      <w:bookmarkEnd w:id="243"/>
      <w:bookmarkEnd w:id="244"/>
      <w:bookmarkEnd w:id="245"/>
      <w:bookmarkEnd w:id="24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有下列情形之一的，招标人将重新招标；</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（1）投标截至时间止，投标人少于3个的；</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（2）经评标委员会评审后否决所有投标的。</w:t>
      </w:r>
    </w:p>
    <w:p>
      <w:pPr>
        <w:pStyle w:val="3"/>
        <w:spacing w:before="0" w:after="0"/>
        <w:rPr>
          <w:rFonts w:ascii="宋体" w:hAnsi="宋体" w:cs="宋体"/>
          <w:snapToGrid w:val="0"/>
        </w:rPr>
      </w:pPr>
      <w:bookmarkStart w:id="247" w:name="_Toc200513172"/>
      <w:bookmarkStart w:id="248" w:name="_Toc224103363"/>
      <w:bookmarkStart w:id="249" w:name="_Toc277082598"/>
      <w:bookmarkStart w:id="250" w:name="_Toc287607792"/>
      <w:bookmarkStart w:id="251" w:name="_Toc287620731"/>
      <w:r>
        <w:rPr>
          <w:rFonts w:hint="eastAsia" w:ascii="宋体" w:hAnsi="宋体" w:cs="宋体"/>
          <w:snapToGrid w:val="0"/>
        </w:rPr>
        <w:t>9.  纪律和监督</w:t>
      </w:r>
      <w:bookmarkEnd w:id="247"/>
      <w:bookmarkEnd w:id="248"/>
      <w:bookmarkEnd w:id="249"/>
      <w:bookmarkEnd w:id="250"/>
      <w:bookmarkEnd w:id="251"/>
    </w:p>
    <w:p>
      <w:pPr>
        <w:pStyle w:val="4"/>
        <w:snapToGrid w:val="0"/>
        <w:spacing w:before="0" w:after="0" w:line="360" w:lineRule="auto"/>
        <w:rPr>
          <w:rFonts w:ascii="宋体" w:hAnsi="宋体" w:cs="宋体"/>
          <w:snapToGrid w:val="0"/>
        </w:rPr>
      </w:pPr>
      <w:bookmarkStart w:id="252" w:name="_Toc200513173"/>
      <w:bookmarkStart w:id="253" w:name="_Toc224103364"/>
      <w:bookmarkStart w:id="254" w:name="_Toc277082599"/>
      <w:bookmarkStart w:id="255" w:name="_Toc287607793"/>
      <w:bookmarkStart w:id="256" w:name="_Toc287620732"/>
      <w:r>
        <w:rPr>
          <w:rFonts w:hint="eastAsia" w:ascii="宋体" w:hAnsi="宋体" w:cs="宋体"/>
          <w:snapToGrid w:val="0"/>
        </w:rPr>
        <w:t>9.1  对招标人的纪律要求</w:t>
      </w:r>
      <w:bookmarkEnd w:id="252"/>
      <w:bookmarkEnd w:id="253"/>
      <w:bookmarkEnd w:id="254"/>
      <w:bookmarkEnd w:id="255"/>
      <w:bookmarkEnd w:id="25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招标人不得泄漏招标投标活动中应当保密的情况和资料，不得与投标人串通损害国家利益、社会公共利益或者他人合法权益，</w:t>
      </w:r>
      <w:r>
        <w:rPr>
          <w:rFonts w:hint="eastAsia" w:ascii="宋体" w:hAnsi="宋体" w:cs="宋体"/>
        </w:rPr>
        <w:t>禁止招标人与投标人串通投标。</w:t>
      </w:r>
      <w:r>
        <w:rPr>
          <w:rFonts w:hint="eastAsia" w:ascii="宋体" w:hAnsi="宋体" w:cs="宋体"/>
        </w:rPr>
        <w:br w:type="textWrapping"/>
      </w:r>
      <w:r>
        <w:rPr>
          <w:rFonts w:hint="eastAsia" w:ascii="宋体" w:hAnsi="宋体" w:cs="宋体"/>
        </w:rPr>
        <w:t>    有下列情形之一的，属于招标人与投标人串通投标：</w:t>
      </w:r>
      <w:r>
        <w:rPr>
          <w:rFonts w:hint="eastAsia" w:ascii="宋体" w:hAnsi="宋体" w:cs="宋体"/>
        </w:rPr>
        <w:br w:type="textWrapping"/>
      </w:r>
      <w:r>
        <w:rPr>
          <w:rFonts w:hint="eastAsia" w:ascii="宋体" w:hAnsi="宋体" w:cs="宋体"/>
        </w:rPr>
        <w:t>    （1）招标人在开标前开启投标文件并将有关信息泄露给其他投标人;</w:t>
      </w:r>
      <w:r>
        <w:rPr>
          <w:rFonts w:hint="eastAsia" w:ascii="宋体" w:hAnsi="宋体" w:cs="宋体"/>
        </w:rPr>
        <w:br w:type="textWrapping"/>
      </w:r>
      <w:r>
        <w:rPr>
          <w:rFonts w:hint="eastAsia" w:ascii="宋体" w:hAnsi="宋体" w:cs="宋体"/>
        </w:rPr>
        <w:t>    （2）招标人直接或者间接向投标人泄露标底、评标委员会成员等信息；</w:t>
      </w:r>
      <w:r>
        <w:rPr>
          <w:rFonts w:hint="eastAsia" w:ascii="宋体" w:hAnsi="宋体" w:cs="宋体"/>
        </w:rPr>
        <w:br w:type="textWrapping"/>
      </w:r>
      <w:r>
        <w:rPr>
          <w:rFonts w:hint="eastAsia" w:ascii="宋体" w:hAnsi="宋体" w:cs="宋体"/>
        </w:rPr>
        <w:t>    （3）招标人明示或者暗示投标人压低或者抬高投标报价；</w:t>
      </w:r>
      <w:r>
        <w:rPr>
          <w:rFonts w:hint="eastAsia" w:ascii="宋体" w:hAnsi="宋体" w:cs="宋体"/>
        </w:rPr>
        <w:br w:type="textWrapping"/>
      </w:r>
      <w:r>
        <w:rPr>
          <w:rFonts w:hint="eastAsia" w:ascii="宋体" w:hAnsi="宋体" w:cs="宋体"/>
        </w:rPr>
        <w:t>    （4）招标人授意投标人撤换、修改投标文件；</w:t>
      </w:r>
      <w:r>
        <w:rPr>
          <w:rFonts w:hint="eastAsia" w:ascii="宋体" w:hAnsi="宋体" w:cs="宋体"/>
        </w:rPr>
        <w:br w:type="textWrapping"/>
      </w:r>
      <w:r>
        <w:rPr>
          <w:rFonts w:hint="eastAsia" w:ascii="宋体" w:hAnsi="宋体" w:cs="宋体"/>
        </w:rPr>
        <w:t>    （5）招标人明示或者暗示投标人为特定投标人中标提供方便；</w:t>
      </w:r>
      <w:r>
        <w:rPr>
          <w:rFonts w:hint="eastAsia" w:ascii="宋体" w:hAnsi="宋体" w:cs="宋体"/>
        </w:rPr>
        <w:br w:type="textWrapping"/>
      </w:r>
      <w:r>
        <w:rPr>
          <w:rFonts w:hint="eastAsia" w:ascii="宋体" w:hAnsi="宋体" w:cs="宋体"/>
        </w:rPr>
        <w:t>    （6）招标人与投标人为谋求特定投标人中标而采取的其他串通行为。</w:t>
      </w:r>
    </w:p>
    <w:p>
      <w:pPr>
        <w:pStyle w:val="4"/>
        <w:snapToGrid w:val="0"/>
        <w:spacing w:before="0" w:after="0" w:line="360" w:lineRule="auto"/>
        <w:rPr>
          <w:rFonts w:ascii="宋体" w:hAnsi="宋体" w:cs="宋体"/>
          <w:snapToGrid w:val="0"/>
        </w:rPr>
      </w:pPr>
      <w:bookmarkStart w:id="257" w:name="_Toc224103365"/>
      <w:bookmarkStart w:id="258" w:name="_Toc277082600"/>
      <w:bookmarkStart w:id="259" w:name="_Toc287620733"/>
      <w:bookmarkStart w:id="260" w:name="_Toc287607794"/>
      <w:bookmarkStart w:id="261" w:name="_Toc200513174"/>
      <w:r>
        <w:rPr>
          <w:rFonts w:hint="eastAsia" w:ascii="宋体" w:hAnsi="宋体" w:cs="宋体"/>
          <w:snapToGrid w:val="0"/>
        </w:rPr>
        <w:t>9.2  对投标人的纪律要求</w:t>
      </w:r>
      <w:bookmarkEnd w:id="257"/>
      <w:bookmarkEnd w:id="258"/>
      <w:bookmarkEnd w:id="259"/>
      <w:bookmarkEnd w:id="260"/>
      <w:bookmarkEnd w:id="261"/>
    </w:p>
    <w:p>
      <w:pPr>
        <w:autoSpaceDE w:val="0"/>
        <w:autoSpaceDN w:val="0"/>
        <w:adjustRightInd w:val="0"/>
        <w:snapToGrid w:val="0"/>
        <w:spacing w:line="360" w:lineRule="auto"/>
        <w:ind w:firstLine="420"/>
        <w:rPr>
          <w:rFonts w:ascii="宋体" w:hAnsi="宋体" w:cs="宋体"/>
        </w:rPr>
      </w:pPr>
      <w:r>
        <w:rPr>
          <w:rFonts w:hint="eastAsia" w:ascii="宋体" w:hAnsi="宋体" w:cs="宋体"/>
          <w:snapToGrid w:val="0"/>
          <w:kern w:val="0"/>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r>
        <w:rPr>
          <w:rFonts w:hint="eastAsia" w:ascii="宋体" w:hAnsi="宋体" w:cs="宋体"/>
        </w:rPr>
        <w:br w:type="textWrapping"/>
      </w:r>
      <w:r>
        <w:rPr>
          <w:rFonts w:hint="eastAsia" w:ascii="宋体" w:hAnsi="宋体" w:cs="宋体"/>
        </w:rPr>
        <w:t>    有下列情形之一的，属于投标人相互串通投标：</w:t>
      </w:r>
      <w:r>
        <w:rPr>
          <w:rFonts w:hint="eastAsia" w:ascii="宋体" w:hAnsi="宋体" w:cs="宋体"/>
        </w:rPr>
        <w:br w:type="textWrapping"/>
      </w:r>
      <w:r>
        <w:rPr>
          <w:rFonts w:hint="eastAsia" w:ascii="宋体" w:hAnsi="宋体" w:cs="宋体"/>
        </w:rPr>
        <w:t>    （1）投标人之间协商投标报价等投标文件的实质性内容；</w:t>
      </w:r>
      <w:r>
        <w:rPr>
          <w:rFonts w:hint="eastAsia" w:ascii="宋体" w:hAnsi="宋体" w:cs="宋体"/>
        </w:rPr>
        <w:br w:type="textWrapping"/>
      </w:r>
      <w:r>
        <w:rPr>
          <w:rFonts w:hint="eastAsia" w:ascii="宋体" w:hAnsi="宋体" w:cs="宋体"/>
        </w:rPr>
        <w:t>    （2）投标人之间约定中标人；</w:t>
      </w:r>
      <w:r>
        <w:rPr>
          <w:rFonts w:hint="eastAsia" w:ascii="宋体" w:hAnsi="宋体" w:cs="宋体"/>
        </w:rPr>
        <w:br w:type="textWrapping"/>
      </w:r>
      <w:r>
        <w:rPr>
          <w:rFonts w:hint="eastAsia" w:ascii="宋体" w:hAnsi="宋体" w:cs="宋体"/>
        </w:rPr>
        <w:t>    （3）投标人之间约定部分投标人放弃投标或者中标；</w:t>
      </w:r>
      <w:r>
        <w:rPr>
          <w:rFonts w:hint="eastAsia" w:ascii="宋体" w:hAnsi="宋体" w:cs="宋体"/>
        </w:rPr>
        <w:br w:type="textWrapping"/>
      </w:r>
      <w:r>
        <w:rPr>
          <w:rFonts w:hint="eastAsia" w:ascii="宋体" w:hAnsi="宋体" w:cs="宋体"/>
        </w:rPr>
        <w:t>    （4）属于同一集团、协会、商会等组织成员的投标人按照该组织要求协同投标；</w:t>
      </w:r>
      <w:r>
        <w:rPr>
          <w:rFonts w:hint="eastAsia" w:ascii="宋体" w:hAnsi="宋体" w:cs="宋体"/>
        </w:rPr>
        <w:br w:type="textWrapping"/>
      </w:r>
      <w:r>
        <w:rPr>
          <w:rFonts w:hint="eastAsia" w:ascii="宋体" w:hAnsi="宋体" w:cs="宋体"/>
        </w:rPr>
        <w:t>    （5）投标人之间为谋取中标或者排斥特定投标人而采取的其他联合行动。</w:t>
      </w:r>
      <w:r>
        <w:rPr>
          <w:rFonts w:hint="eastAsia" w:ascii="宋体" w:hAnsi="宋体" w:cs="宋体"/>
        </w:rPr>
        <w:br w:type="textWrapping"/>
      </w:r>
      <w:r>
        <w:rPr>
          <w:rFonts w:hint="eastAsia" w:ascii="宋体" w:hAnsi="宋体" w:cs="宋体"/>
        </w:rPr>
        <w:t>   有下列情形之一的，视为投标人相互串通投标：</w:t>
      </w:r>
      <w:r>
        <w:rPr>
          <w:rFonts w:hint="eastAsia" w:ascii="宋体" w:hAnsi="宋体" w:cs="宋体"/>
        </w:rPr>
        <w:br w:type="textWrapping"/>
      </w:r>
      <w:r>
        <w:rPr>
          <w:rFonts w:hint="eastAsia" w:ascii="宋体" w:hAnsi="宋体" w:cs="宋体"/>
        </w:rPr>
        <w:t>    （1）不同投标人的投标文件由同一单位或者个人编制；</w:t>
      </w:r>
      <w:r>
        <w:rPr>
          <w:rFonts w:hint="eastAsia" w:ascii="宋体" w:hAnsi="宋体" w:cs="宋体"/>
        </w:rPr>
        <w:br w:type="textWrapping"/>
      </w:r>
      <w:r>
        <w:rPr>
          <w:rFonts w:hint="eastAsia" w:ascii="宋体" w:hAnsi="宋体" w:cs="宋体"/>
        </w:rPr>
        <w:t>    （2）不同投标人委托同一单位或者个人办理投标事宜；</w:t>
      </w:r>
      <w:r>
        <w:rPr>
          <w:rFonts w:hint="eastAsia" w:ascii="宋体" w:hAnsi="宋体" w:cs="宋体"/>
        </w:rPr>
        <w:br w:type="textWrapping"/>
      </w:r>
      <w:r>
        <w:rPr>
          <w:rFonts w:hint="eastAsia" w:ascii="宋体" w:hAnsi="宋体" w:cs="宋体"/>
        </w:rPr>
        <w:t>    （3）不同投标人的投标文件载明的项目管理成员为同一人；</w:t>
      </w:r>
      <w:r>
        <w:rPr>
          <w:rFonts w:hint="eastAsia" w:ascii="宋体" w:hAnsi="宋体" w:cs="宋体"/>
        </w:rPr>
        <w:br w:type="textWrapping"/>
      </w:r>
      <w:r>
        <w:rPr>
          <w:rFonts w:hint="eastAsia" w:ascii="宋体" w:hAnsi="宋体" w:cs="宋体"/>
        </w:rPr>
        <w:t>    （4）不同投标人的投标文件异常一致或者投标报价呈规律性差异；</w:t>
      </w:r>
      <w:r>
        <w:rPr>
          <w:rFonts w:hint="eastAsia" w:ascii="宋体" w:hAnsi="宋体" w:cs="宋体"/>
        </w:rPr>
        <w:br w:type="textWrapping"/>
      </w:r>
      <w:r>
        <w:rPr>
          <w:rFonts w:hint="eastAsia" w:ascii="宋体" w:hAnsi="宋体" w:cs="宋体"/>
        </w:rPr>
        <w:t>    （5）不同投标人的投标文件相互混装；</w:t>
      </w:r>
      <w:r>
        <w:rPr>
          <w:rFonts w:hint="eastAsia" w:ascii="宋体" w:hAnsi="宋体" w:cs="宋体"/>
        </w:rPr>
        <w:br w:type="textWrapping"/>
      </w:r>
      <w:r>
        <w:rPr>
          <w:rFonts w:hint="eastAsia" w:ascii="宋体" w:hAnsi="宋体" w:cs="宋体"/>
        </w:rPr>
        <w:t>    （6）不同投标人的投标保证金从同一单位或者个人的账户转出。</w:t>
      </w:r>
    </w:p>
    <w:p>
      <w:pPr>
        <w:autoSpaceDE w:val="0"/>
        <w:autoSpaceDN w:val="0"/>
        <w:adjustRightInd w:val="0"/>
        <w:snapToGrid w:val="0"/>
        <w:spacing w:line="360" w:lineRule="auto"/>
        <w:ind w:firstLine="315" w:firstLineChars="150"/>
        <w:rPr>
          <w:rFonts w:ascii="宋体" w:hAnsi="宋体" w:cs="宋体"/>
          <w:snapToGrid w:val="0"/>
          <w:kern w:val="0"/>
          <w:szCs w:val="21"/>
        </w:rPr>
      </w:pPr>
      <w:r>
        <w:rPr>
          <w:rFonts w:hint="eastAsia" w:ascii="宋体" w:hAnsi="宋体" w:cs="宋体"/>
        </w:rPr>
        <w:t>使用通过受让或者租借等方式获取的资格、资质证书投标的，属于以他人名义投标。</w:t>
      </w:r>
      <w:r>
        <w:rPr>
          <w:rFonts w:hint="eastAsia" w:ascii="宋体" w:hAnsi="宋体" w:cs="宋体"/>
        </w:rPr>
        <w:br w:type="textWrapping"/>
      </w:r>
      <w:r>
        <w:rPr>
          <w:rFonts w:hint="eastAsia" w:ascii="宋体" w:hAnsi="宋体" w:cs="宋体"/>
        </w:rPr>
        <w:t>    投标人有下列情形之一的，属于以其他方式弄虚作假的行为：</w:t>
      </w:r>
      <w:r>
        <w:rPr>
          <w:rFonts w:hint="eastAsia" w:ascii="宋体" w:hAnsi="宋体" w:cs="宋体"/>
        </w:rPr>
        <w:br w:type="textWrapping"/>
      </w:r>
      <w:r>
        <w:rPr>
          <w:rFonts w:hint="eastAsia" w:ascii="宋体" w:hAnsi="宋体" w:cs="宋体"/>
        </w:rPr>
        <w:t>    （一）使用伪造、变造的许可证件；</w:t>
      </w:r>
      <w:r>
        <w:rPr>
          <w:rFonts w:hint="eastAsia" w:ascii="宋体" w:hAnsi="宋体" w:cs="宋体"/>
        </w:rPr>
        <w:br w:type="textWrapping"/>
      </w:r>
      <w:r>
        <w:rPr>
          <w:rFonts w:hint="eastAsia" w:ascii="宋体" w:hAnsi="宋体" w:cs="宋体"/>
        </w:rPr>
        <w:t>    （二）提供虚假的财务状况或者业绩；</w:t>
      </w:r>
      <w:r>
        <w:rPr>
          <w:rFonts w:hint="eastAsia" w:ascii="宋体" w:hAnsi="宋体" w:cs="宋体"/>
        </w:rPr>
        <w:br w:type="textWrapping"/>
      </w:r>
      <w:r>
        <w:rPr>
          <w:rFonts w:hint="eastAsia" w:ascii="宋体" w:hAnsi="宋体" w:cs="宋体"/>
        </w:rPr>
        <w:t>    （三）提供虚假的项目负责人或者主要技术人员简历、劳动关系证明；</w:t>
      </w:r>
      <w:r>
        <w:rPr>
          <w:rFonts w:hint="eastAsia" w:ascii="宋体" w:hAnsi="宋体" w:cs="宋体"/>
        </w:rPr>
        <w:br w:type="textWrapping"/>
      </w:r>
      <w:r>
        <w:rPr>
          <w:rFonts w:hint="eastAsia" w:ascii="宋体" w:hAnsi="宋体" w:cs="宋体"/>
        </w:rPr>
        <w:t>    （四）提供虚假的信用状况；</w:t>
      </w:r>
      <w:r>
        <w:rPr>
          <w:rFonts w:hint="eastAsia" w:ascii="宋体" w:hAnsi="宋体" w:cs="宋体"/>
        </w:rPr>
        <w:br w:type="textWrapping"/>
      </w:r>
      <w:r>
        <w:rPr>
          <w:rFonts w:hint="eastAsia" w:ascii="宋体" w:hAnsi="宋体" w:cs="宋体"/>
        </w:rPr>
        <w:t>    （五）其他弄虚作假的行为。</w:t>
      </w:r>
    </w:p>
    <w:p>
      <w:pPr>
        <w:pStyle w:val="4"/>
        <w:snapToGrid w:val="0"/>
        <w:spacing w:before="0" w:after="0" w:line="360" w:lineRule="auto"/>
        <w:rPr>
          <w:rFonts w:ascii="宋体" w:hAnsi="宋体" w:cs="宋体"/>
          <w:snapToGrid w:val="0"/>
        </w:rPr>
      </w:pPr>
      <w:bookmarkStart w:id="262" w:name="_Toc287620734"/>
      <w:bookmarkStart w:id="263" w:name="_Toc287607795"/>
      <w:bookmarkStart w:id="264" w:name="_Toc277082601"/>
      <w:bookmarkStart w:id="265" w:name="_Toc224103366"/>
      <w:bookmarkStart w:id="266" w:name="_Toc200513175"/>
      <w:r>
        <w:rPr>
          <w:rFonts w:hint="eastAsia" w:ascii="宋体" w:hAnsi="宋体" w:cs="宋体"/>
          <w:snapToGrid w:val="0"/>
        </w:rPr>
        <w:t>9.3  对评标委员会成员的纪律要求</w:t>
      </w:r>
      <w:bookmarkEnd w:id="262"/>
      <w:bookmarkEnd w:id="263"/>
      <w:bookmarkEnd w:id="264"/>
      <w:bookmarkEnd w:id="265"/>
      <w:bookmarkEnd w:id="266"/>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4"/>
        <w:snapToGrid w:val="0"/>
        <w:spacing w:before="0" w:after="0" w:line="360" w:lineRule="auto"/>
        <w:rPr>
          <w:rFonts w:ascii="宋体" w:hAnsi="宋体" w:cs="宋体"/>
          <w:snapToGrid w:val="0"/>
        </w:rPr>
      </w:pPr>
      <w:bookmarkStart w:id="267" w:name="_Toc287620735"/>
      <w:bookmarkStart w:id="268" w:name="_Toc287607796"/>
      <w:bookmarkStart w:id="269" w:name="_Toc277082602"/>
      <w:bookmarkStart w:id="270" w:name="_Toc224103367"/>
      <w:bookmarkStart w:id="271" w:name="_Toc200513176"/>
      <w:r>
        <w:rPr>
          <w:rFonts w:hint="eastAsia" w:ascii="宋体" w:hAnsi="宋体" w:cs="宋体"/>
          <w:snapToGrid w:val="0"/>
        </w:rPr>
        <w:t>9.4  对与评标活动有关的工作人员的纪律要求</w:t>
      </w:r>
      <w:bookmarkEnd w:id="267"/>
      <w:bookmarkEnd w:id="268"/>
      <w:bookmarkEnd w:id="269"/>
      <w:bookmarkEnd w:id="270"/>
      <w:bookmarkEnd w:id="271"/>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与评标活动有关的工作人员不得收受他人的财物或者其他好处，不得向他人透漏对投标文件的评审和比较、中标候选人的推荐情况以及与评标有关的其他情况。在评标活动中，与评标活动有关的工作人员不得擅离职守，影响评标程序正常进行。</w:t>
      </w:r>
    </w:p>
    <w:p>
      <w:pPr>
        <w:pStyle w:val="4"/>
        <w:snapToGrid w:val="0"/>
        <w:spacing w:before="0" w:after="0" w:line="360" w:lineRule="auto"/>
        <w:rPr>
          <w:rFonts w:ascii="宋体" w:hAnsi="宋体" w:cs="宋体"/>
          <w:snapToGrid w:val="0"/>
        </w:rPr>
      </w:pPr>
      <w:bookmarkStart w:id="272" w:name="_Toc287620736"/>
      <w:bookmarkStart w:id="273" w:name="_Toc224103368"/>
      <w:bookmarkStart w:id="274" w:name="_Toc277082603"/>
      <w:bookmarkStart w:id="275" w:name="_Toc287607797"/>
      <w:bookmarkStart w:id="276" w:name="_Toc200513177"/>
      <w:r>
        <w:rPr>
          <w:rFonts w:hint="eastAsia" w:ascii="宋体" w:hAnsi="宋体" w:cs="宋体"/>
          <w:snapToGrid w:val="0"/>
        </w:rPr>
        <w:t>9.5  投诉</w:t>
      </w:r>
      <w:bookmarkEnd w:id="272"/>
      <w:bookmarkEnd w:id="273"/>
      <w:bookmarkEnd w:id="274"/>
      <w:bookmarkEnd w:id="275"/>
      <w:bookmarkEnd w:id="276"/>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投标人和其他利害关系人认为本次招标活动违反法律、法规和规章规定的，有权向有关行政监督部门投诉。</w:t>
      </w:r>
    </w:p>
    <w:p>
      <w:pPr>
        <w:pStyle w:val="3"/>
        <w:spacing w:before="0" w:after="0"/>
        <w:rPr>
          <w:rFonts w:ascii="宋体" w:hAnsi="宋体" w:cs="宋体"/>
          <w:snapToGrid w:val="0"/>
        </w:rPr>
      </w:pPr>
      <w:bookmarkStart w:id="277" w:name="_Toc200513178"/>
      <w:bookmarkStart w:id="278" w:name="_Toc224103369"/>
      <w:bookmarkStart w:id="279" w:name="_Toc277082604"/>
      <w:bookmarkStart w:id="280" w:name="_Toc287620737"/>
      <w:bookmarkStart w:id="281" w:name="_Toc287607798"/>
      <w:r>
        <w:rPr>
          <w:rFonts w:hint="eastAsia" w:ascii="宋体" w:hAnsi="宋体" w:cs="宋体"/>
          <w:snapToGrid w:val="0"/>
        </w:rPr>
        <w:t>10. 需要补充的其他内容</w:t>
      </w:r>
      <w:bookmarkEnd w:id="277"/>
      <w:bookmarkEnd w:id="278"/>
      <w:bookmarkEnd w:id="279"/>
      <w:bookmarkEnd w:id="280"/>
      <w:bookmarkEnd w:id="281"/>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需要补充的其他内容：见投标人须知前附表。</w:t>
      </w:r>
    </w:p>
    <w:p>
      <w:pPr>
        <w:autoSpaceDE w:val="0"/>
        <w:autoSpaceDN w:val="0"/>
        <w:adjustRightInd w:val="0"/>
        <w:snapToGrid w:val="0"/>
        <w:spacing w:line="360" w:lineRule="auto"/>
        <w:jc w:val="left"/>
        <w:rPr>
          <w:rFonts w:ascii="宋体" w:hAnsi="宋体" w:cs="宋体"/>
          <w:kern w:val="0"/>
          <w:sz w:val="24"/>
        </w:rPr>
      </w:pPr>
    </w:p>
    <w:p>
      <w:pPr>
        <w:spacing w:line="480" w:lineRule="auto"/>
        <w:rPr>
          <w:rFonts w:ascii="宋体" w:hAnsi="宋体" w:cs="宋体"/>
          <w:b/>
          <w:sz w:val="32"/>
          <w:szCs w:val="32"/>
        </w:rPr>
      </w:pPr>
    </w:p>
    <w:p>
      <w:pPr>
        <w:spacing w:line="480" w:lineRule="auto"/>
        <w:rPr>
          <w:rFonts w:ascii="宋体" w:hAnsi="宋体" w:cs="宋体"/>
          <w:b/>
          <w:sz w:val="32"/>
          <w:szCs w:val="32"/>
        </w:rPr>
        <w:sectPr>
          <w:headerReference r:id="rId13" w:type="default"/>
          <w:footerReference r:id="rId14" w:type="default"/>
          <w:footerReference r:id="rId15" w:type="even"/>
          <w:pgSz w:w="11906" w:h="16838"/>
          <w:pgMar w:top="1418" w:right="1361" w:bottom="1418" w:left="1418" w:header="851" w:footer="992" w:gutter="0"/>
          <w:cols w:space="720" w:num="1"/>
          <w:docGrid w:linePitch="312" w:charSpace="0"/>
        </w:sectPr>
      </w:pPr>
    </w:p>
    <w:p>
      <w:pPr>
        <w:spacing w:line="520" w:lineRule="exact"/>
        <w:jc w:val="center"/>
        <w:rPr>
          <w:rFonts w:ascii="宋体" w:hAnsi="宋体" w:cs="宋体"/>
          <w:b/>
          <w:sz w:val="32"/>
          <w:szCs w:val="32"/>
        </w:rPr>
      </w:pPr>
      <w:bookmarkStart w:id="282" w:name="招标文件03章02评标办法综合评估法00"/>
      <w:bookmarkEnd w:id="282"/>
      <w:bookmarkStart w:id="283" w:name="招标文件03章02评标办法综合评估法"/>
      <w:bookmarkEnd w:id="283"/>
      <w:bookmarkStart w:id="284" w:name="_Toc300662169"/>
      <w:bookmarkStart w:id="285" w:name="_Toc287607799"/>
      <w:bookmarkStart w:id="286" w:name="_Toc277082605"/>
      <w:bookmarkStart w:id="287" w:name="_Toc287620738"/>
      <w:bookmarkStart w:id="288" w:name="_Toc287620749"/>
      <w:bookmarkStart w:id="289" w:name="_Toc287607810"/>
      <w:r>
        <w:rPr>
          <w:rFonts w:hint="eastAsia" w:ascii="宋体" w:hAnsi="宋体" w:cs="宋体"/>
          <w:b/>
          <w:sz w:val="32"/>
          <w:szCs w:val="32"/>
        </w:rPr>
        <w:t>第三章评标办法</w:t>
      </w:r>
      <w:bookmarkEnd w:id="284"/>
      <w:bookmarkEnd w:id="285"/>
      <w:bookmarkEnd w:id="286"/>
      <w:bookmarkEnd w:id="287"/>
      <w:bookmarkStart w:id="290" w:name="_Toc287607800"/>
      <w:bookmarkStart w:id="291" w:name="_Toc287620739"/>
      <w:bookmarkStart w:id="292" w:name="_Toc277082606"/>
      <w:bookmarkStart w:id="293" w:name="_Toc224103371"/>
    </w:p>
    <w:bookmarkEnd w:id="290"/>
    <w:bookmarkEnd w:id="291"/>
    <w:bookmarkEnd w:id="292"/>
    <w:bookmarkEnd w:id="293"/>
    <w:p>
      <w:pPr>
        <w:spacing w:line="520" w:lineRule="exact"/>
        <w:jc w:val="center"/>
        <w:rPr>
          <w:rFonts w:ascii="宋体" w:hAnsi="宋体" w:cs="宋体"/>
          <w:b/>
          <w:sz w:val="32"/>
          <w:szCs w:val="32"/>
        </w:rPr>
      </w:pPr>
      <w:r>
        <w:rPr>
          <w:rFonts w:hint="eastAsia" w:ascii="宋体" w:hAnsi="宋体" w:cs="宋体"/>
          <w:b/>
          <w:sz w:val="32"/>
          <w:szCs w:val="32"/>
        </w:rPr>
        <w:t>评标办法前附表</w:t>
      </w:r>
    </w:p>
    <w:tbl>
      <w:tblPr>
        <w:tblStyle w:val="57"/>
        <w:tblW w:w="9167"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511"/>
        <w:gridCol w:w="549"/>
        <w:gridCol w:w="1374"/>
        <w:gridCol w:w="4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 w:hRule="atLeast"/>
          <w:tblHeader/>
        </w:trPr>
        <w:tc>
          <w:tcPr>
            <w:tcW w:w="2300" w:type="dxa"/>
            <w:gridSpan w:val="2"/>
            <w:vAlign w:val="center"/>
          </w:tcPr>
          <w:p>
            <w:pPr>
              <w:spacing w:line="427" w:lineRule="exact"/>
              <w:jc w:val="center"/>
              <w:rPr>
                <w:rFonts w:ascii="宋体" w:hAnsi="宋体" w:cs="宋体"/>
                <w:b/>
                <w:kern w:val="0"/>
              </w:rPr>
            </w:pPr>
            <w:r>
              <w:rPr>
                <w:rFonts w:hint="eastAsia" w:ascii="宋体" w:hAnsi="宋体" w:cs="宋体"/>
                <w:b/>
                <w:kern w:val="0"/>
              </w:rPr>
              <w:t>条款号</w:t>
            </w:r>
          </w:p>
        </w:tc>
        <w:tc>
          <w:tcPr>
            <w:tcW w:w="1923" w:type="dxa"/>
            <w:gridSpan w:val="2"/>
            <w:vAlign w:val="center"/>
          </w:tcPr>
          <w:p>
            <w:pPr>
              <w:spacing w:line="427" w:lineRule="exact"/>
              <w:jc w:val="center"/>
              <w:rPr>
                <w:rFonts w:ascii="宋体" w:hAnsi="宋体" w:cs="宋体"/>
                <w:b/>
                <w:kern w:val="0"/>
              </w:rPr>
            </w:pPr>
            <w:r>
              <w:rPr>
                <w:rFonts w:hint="eastAsia" w:ascii="宋体" w:hAnsi="宋体" w:cs="宋体"/>
                <w:b/>
                <w:kern w:val="0"/>
              </w:rPr>
              <w:t>评审因素</w:t>
            </w:r>
          </w:p>
        </w:tc>
        <w:tc>
          <w:tcPr>
            <w:tcW w:w="4944" w:type="dxa"/>
            <w:vAlign w:val="center"/>
          </w:tcPr>
          <w:p>
            <w:pPr>
              <w:spacing w:line="427" w:lineRule="exact"/>
              <w:jc w:val="center"/>
              <w:rPr>
                <w:rFonts w:ascii="宋体" w:hAnsi="宋体" w:cs="宋体"/>
                <w:b/>
                <w:kern w:val="0"/>
              </w:rPr>
            </w:pPr>
            <w:r>
              <w:rPr>
                <w:rFonts w:hint="eastAsia" w:ascii="宋体" w:hAnsi="宋体" w:cs="宋体"/>
                <w:b/>
                <w:kern w:val="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trPr>
        <w:tc>
          <w:tcPr>
            <w:tcW w:w="789" w:type="dxa"/>
            <w:vMerge w:val="restart"/>
            <w:vAlign w:val="center"/>
          </w:tcPr>
          <w:p>
            <w:pPr>
              <w:spacing w:line="220" w:lineRule="exact"/>
              <w:rPr>
                <w:rFonts w:ascii="宋体" w:hAnsi="宋体" w:cs="宋体"/>
                <w:kern w:val="0"/>
              </w:rPr>
            </w:pPr>
            <w:r>
              <w:rPr>
                <w:rFonts w:hint="eastAsia" w:ascii="宋体" w:hAnsi="宋体" w:cs="宋体"/>
                <w:kern w:val="0"/>
              </w:rPr>
              <w:t>2.1.1</w:t>
            </w:r>
          </w:p>
        </w:tc>
        <w:tc>
          <w:tcPr>
            <w:tcW w:w="1511" w:type="dxa"/>
            <w:vMerge w:val="restart"/>
            <w:textDirection w:val="tbRlV"/>
            <w:vAlign w:val="center"/>
          </w:tcPr>
          <w:p>
            <w:pPr>
              <w:spacing w:line="446" w:lineRule="exact"/>
              <w:ind w:left="113" w:leftChars="54" w:right="113" w:firstLine="420" w:firstLineChars="200"/>
              <w:rPr>
                <w:rFonts w:ascii="宋体" w:hAnsi="宋体" w:cs="宋体"/>
                <w:kern w:val="0"/>
              </w:rPr>
            </w:pPr>
            <w:r>
              <w:rPr>
                <w:rFonts w:hint="eastAsia" w:ascii="宋体" w:hAnsi="宋体" w:cs="宋体"/>
                <w:kern w:val="0"/>
              </w:rPr>
              <w:t xml:space="preserve">                    形式评审标准</w:t>
            </w: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投标人名称</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投标函签字盖章</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有法定代表人或其委托代理人签字、加盖单位公章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投标文件格式</w:t>
            </w:r>
          </w:p>
        </w:tc>
        <w:tc>
          <w:tcPr>
            <w:tcW w:w="4944" w:type="dxa"/>
            <w:vAlign w:val="center"/>
          </w:tcPr>
          <w:p>
            <w:pPr>
              <w:snapToGrid w:val="0"/>
              <w:spacing w:line="360" w:lineRule="auto"/>
              <w:rPr>
                <w:rFonts w:ascii="宋体" w:hAnsi="宋体" w:cs="宋体"/>
                <w:kern w:val="0"/>
              </w:rPr>
            </w:pPr>
            <w:r>
              <w:rPr>
                <w:rFonts w:hint="eastAsia" w:ascii="宋体" w:hAnsi="宋体" w:cs="宋体"/>
                <w:kern w:val="0"/>
                <w:highlight w:val="yellow"/>
              </w:rPr>
              <w:t>符合第七章“投标文件格式”的要求，字迹清晰可辨。</w:t>
            </w:r>
          </w:p>
          <w:p>
            <w:pPr>
              <w:snapToGrid w:val="0"/>
              <w:spacing w:line="360" w:lineRule="auto"/>
              <w:rPr>
                <w:rFonts w:ascii="宋体" w:hAnsi="宋体" w:cs="宋体"/>
                <w:kern w:val="0"/>
              </w:rPr>
            </w:pPr>
            <w:r>
              <w:rPr>
                <w:rFonts w:hint="eastAsia" w:ascii="宋体" w:hAnsi="宋体" w:cs="宋体"/>
                <w:kern w:val="0"/>
              </w:rPr>
              <w:t>1.投标函附录的所有数据均符合招标文件的规定；</w:t>
            </w:r>
          </w:p>
          <w:p>
            <w:pPr>
              <w:snapToGrid w:val="0"/>
              <w:spacing w:line="360" w:lineRule="auto"/>
              <w:rPr>
                <w:rFonts w:ascii="宋体" w:hAnsi="宋体" w:cs="宋体"/>
                <w:kern w:val="0"/>
              </w:rPr>
            </w:pPr>
            <w:r>
              <w:rPr>
                <w:rFonts w:hint="eastAsia" w:ascii="宋体" w:hAnsi="宋体" w:cs="宋体"/>
                <w:kern w:val="0"/>
              </w:rPr>
              <w:t>2.投标文件附表齐全完整，内容均按规定填写；</w:t>
            </w:r>
          </w:p>
          <w:p>
            <w:pPr>
              <w:snapToGrid w:val="0"/>
              <w:spacing w:line="360" w:lineRule="auto"/>
              <w:rPr>
                <w:rFonts w:ascii="宋体" w:hAnsi="宋体" w:cs="宋体"/>
                <w:kern w:val="0"/>
              </w:rPr>
            </w:pPr>
            <w:r>
              <w:rPr>
                <w:rFonts w:hint="eastAsia" w:ascii="宋体" w:hAnsi="宋体" w:cs="宋体"/>
                <w:kern w:val="0"/>
              </w:rPr>
              <w:t>3.按规定提供了拟投入的主要人员的证件复印件，证件清晰可辨、有效；</w:t>
            </w:r>
          </w:p>
          <w:p>
            <w:pPr>
              <w:snapToGrid w:val="0"/>
              <w:spacing w:line="360" w:lineRule="auto"/>
              <w:rPr>
                <w:rFonts w:ascii="宋体" w:hAnsi="宋体" w:cs="宋体"/>
                <w:kern w:val="0"/>
              </w:rPr>
            </w:pPr>
            <w:r>
              <w:rPr>
                <w:rFonts w:hint="eastAsia" w:ascii="宋体" w:hAnsi="宋体" w:cs="宋体"/>
                <w:kern w:val="0"/>
              </w:rPr>
              <w:t>4.投标文件的编制符合第二章3.7款的规定。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报价唯一</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只能有一个有效报价，在招标文件没有规定的情况下，不得提交选择性报价。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投标文件的签署</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投标文件上法定代表人或其授权代理人的签字齐全，符合招标文件规定。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委托代理人</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投标人法定代表人的委托代理人有法定代表人签署的授权委托书，且其授权委托书符合招标文件规定的格式。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restart"/>
            <w:vAlign w:val="center"/>
          </w:tcPr>
          <w:p>
            <w:pPr>
              <w:spacing w:line="220" w:lineRule="exact"/>
              <w:jc w:val="center"/>
              <w:rPr>
                <w:rFonts w:ascii="宋体" w:hAnsi="宋体" w:cs="宋体"/>
                <w:kern w:val="0"/>
              </w:rPr>
            </w:pPr>
            <w:r>
              <w:rPr>
                <w:rFonts w:hint="eastAsia" w:ascii="宋体" w:hAnsi="宋体" w:cs="宋体"/>
                <w:kern w:val="0"/>
              </w:rPr>
              <w:t>2.1.2</w:t>
            </w:r>
          </w:p>
        </w:tc>
        <w:tc>
          <w:tcPr>
            <w:tcW w:w="1511" w:type="dxa"/>
            <w:vMerge w:val="restart"/>
            <w:textDirection w:val="tbRlV"/>
            <w:vAlign w:val="center"/>
          </w:tcPr>
          <w:p>
            <w:pPr>
              <w:spacing w:line="441" w:lineRule="exact"/>
              <w:ind w:left="113" w:right="113"/>
              <w:jc w:val="center"/>
              <w:rPr>
                <w:rFonts w:ascii="宋体" w:hAnsi="宋体" w:cs="宋体"/>
                <w:kern w:val="0"/>
              </w:rPr>
            </w:pPr>
            <w:r>
              <w:rPr>
                <w:rFonts w:hint="eastAsia" w:ascii="宋体" w:hAnsi="宋体" w:cs="宋体"/>
                <w:kern w:val="0"/>
              </w:rPr>
              <w:t>资格评审标准</w:t>
            </w:r>
          </w:p>
        </w:tc>
        <w:tc>
          <w:tcPr>
            <w:tcW w:w="549" w:type="dxa"/>
            <w:vMerge w:val="restart"/>
            <w:textDirection w:val="tbRlV"/>
            <w:vAlign w:val="center"/>
          </w:tcPr>
          <w:p>
            <w:pPr>
              <w:spacing w:line="436" w:lineRule="exact"/>
              <w:ind w:left="113" w:right="113"/>
              <w:jc w:val="center"/>
              <w:rPr>
                <w:rFonts w:ascii="宋体" w:hAnsi="宋体" w:cs="宋体"/>
                <w:kern w:val="0"/>
              </w:rPr>
            </w:pPr>
            <w:r>
              <w:rPr>
                <w:rFonts w:hint="eastAsia" w:ascii="宋体" w:hAnsi="宋体" w:cs="宋体"/>
                <w:kern w:val="0"/>
              </w:rPr>
              <w:t>必要合格条件</w:t>
            </w:r>
          </w:p>
        </w:tc>
        <w:tc>
          <w:tcPr>
            <w:tcW w:w="1374" w:type="dxa"/>
            <w:vAlign w:val="center"/>
          </w:tcPr>
          <w:p>
            <w:pPr>
              <w:snapToGrid w:val="0"/>
              <w:spacing w:line="446" w:lineRule="exact"/>
              <w:jc w:val="center"/>
              <w:rPr>
                <w:rFonts w:ascii="宋体" w:hAnsi="宋体" w:cs="宋体"/>
                <w:kern w:val="0"/>
              </w:rPr>
            </w:pPr>
            <w:r>
              <w:rPr>
                <w:rFonts w:hint="eastAsia" w:ascii="宋体" w:hAnsi="宋体" w:cs="宋体"/>
                <w:kern w:val="0"/>
              </w:rPr>
              <w:t>营业执照</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441" w:lineRule="exact"/>
              <w:jc w:val="left"/>
              <w:outlineLvl w:val="2"/>
              <w:rPr>
                <w:rFonts w:ascii="宋体" w:hAnsi="宋体" w:cs="宋体"/>
                <w:kern w:val="0"/>
              </w:rPr>
            </w:pPr>
          </w:p>
        </w:tc>
        <w:tc>
          <w:tcPr>
            <w:tcW w:w="1374" w:type="dxa"/>
            <w:vAlign w:val="center"/>
          </w:tcPr>
          <w:p>
            <w:pPr>
              <w:snapToGrid w:val="0"/>
              <w:spacing w:line="436" w:lineRule="exact"/>
              <w:jc w:val="center"/>
              <w:rPr>
                <w:rFonts w:ascii="宋体" w:hAnsi="宋体" w:cs="宋体"/>
                <w:kern w:val="0"/>
              </w:rPr>
            </w:pPr>
            <w:r>
              <w:rPr>
                <w:rFonts w:hint="eastAsia" w:ascii="宋体" w:hAnsi="宋体" w:cs="宋体"/>
                <w:kern w:val="0"/>
              </w:rPr>
              <w:t>安全生产</w:t>
            </w:r>
          </w:p>
          <w:p>
            <w:pPr>
              <w:snapToGrid w:val="0"/>
              <w:spacing w:line="436" w:lineRule="exact"/>
              <w:jc w:val="center"/>
              <w:rPr>
                <w:rFonts w:ascii="宋体" w:hAnsi="宋体" w:cs="宋体"/>
                <w:kern w:val="0"/>
              </w:rPr>
            </w:pPr>
            <w:r>
              <w:rPr>
                <w:rFonts w:hint="eastAsia" w:ascii="宋体" w:hAnsi="宋体" w:cs="宋体"/>
                <w:kern w:val="0"/>
              </w:rPr>
              <w:t>条件</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具备有效的安全生产许可证，企业主要负责人、拟担任该项目负责人和专职安全生产管理人员（即“三类人员”）具备相应的安全生产考核合格证书且符合第二章“投标人须知”第1.4.1项规定。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441" w:lineRule="exact"/>
              <w:jc w:val="left"/>
              <w:outlineLvl w:val="2"/>
              <w:rPr>
                <w:rFonts w:ascii="宋体" w:hAnsi="宋体" w:cs="宋体"/>
                <w:kern w:val="0"/>
              </w:rPr>
            </w:pPr>
          </w:p>
        </w:tc>
        <w:tc>
          <w:tcPr>
            <w:tcW w:w="1374" w:type="dxa"/>
            <w:vAlign w:val="center"/>
          </w:tcPr>
          <w:p>
            <w:pPr>
              <w:snapToGrid w:val="0"/>
              <w:spacing w:line="441" w:lineRule="exact"/>
              <w:jc w:val="center"/>
              <w:rPr>
                <w:rFonts w:ascii="宋体" w:hAnsi="宋体" w:cs="宋体"/>
                <w:kern w:val="0"/>
              </w:rPr>
            </w:pPr>
            <w:r>
              <w:rPr>
                <w:rFonts w:hint="eastAsia" w:ascii="宋体" w:hAnsi="宋体" w:cs="宋体"/>
                <w:kern w:val="0"/>
              </w:rPr>
              <w:t>资质等级</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7"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restart"/>
          </w:tcPr>
          <w:p>
            <w:pPr>
              <w:spacing w:line="221" w:lineRule="exact"/>
              <w:jc w:val="left"/>
              <w:rPr>
                <w:rFonts w:ascii="宋体" w:hAnsi="宋体" w:cs="宋体"/>
                <w:kern w:val="0"/>
              </w:rPr>
            </w:pPr>
            <w:r>
              <w:rPr>
                <w:rFonts w:hint="eastAsia" w:ascii="宋体" w:hAnsi="宋体" w:cs="宋体"/>
                <w:kern w:val="0"/>
              </w:rPr>
              <w:t>附加合格条件</w:t>
            </w:r>
          </w:p>
        </w:tc>
        <w:tc>
          <w:tcPr>
            <w:tcW w:w="1374" w:type="dxa"/>
            <w:vAlign w:val="center"/>
          </w:tcPr>
          <w:p>
            <w:pPr>
              <w:snapToGrid w:val="0"/>
              <w:spacing w:line="221" w:lineRule="exact"/>
              <w:jc w:val="center"/>
              <w:rPr>
                <w:rFonts w:ascii="宋体" w:hAnsi="宋体" w:cs="宋体"/>
                <w:kern w:val="0"/>
              </w:rPr>
            </w:pPr>
            <w:r>
              <w:rPr>
                <w:rFonts w:hint="eastAsia" w:ascii="宋体" w:hAnsi="宋体" w:cs="宋体"/>
                <w:kern w:val="0"/>
              </w:rPr>
              <w:t>项目经理</w:t>
            </w:r>
          </w:p>
          <w:p>
            <w:pPr>
              <w:snapToGrid w:val="0"/>
              <w:spacing w:line="221" w:lineRule="exact"/>
              <w:jc w:val="center"/>
              <w:rPr>
                <w:rFonts w:ascii="宋体" w:hAnsi="宋体" w:cs="宋体"/>
                <w:kern w:val="0"/>
              </w:rPr>
            </w:pPr>
            <w:r>
              <w:rPr>
                <w:rFonts w:hint="eastAsia" w:ascii="宋体" w:hAnsi="宋体" w:cs="宋体"/>
                <w:kern w:val="0"/>
              </w:rPr>
              <w:t>资格</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221" w:lineRule="exact"/>
              <w:ind w:firstLine="105"/>
              <w:jc w:val="left"/>
              <w:outlineLvl w:val="2"/>
              <w:rPr>
                <w:rFonts w:ascii="宋体" w:hAnsi="宋体" w:cs="宋体"/>
                <w:kern w:val="0"/>
              </w:rPr>
            </w:pPr>
          </w:p>
        </w:tc>
        <w:tc>
          <w:tcPr>
            <w:tcW w:w="1374" w:type="dxa"/>
            <w:vAlign w:val="center"/>
          </w:tcPr>
          <w:p>
            <w:pPr>
              <w:snapToGrid w:val="0"/>
              <w:spacing w:line="360" w:lineRule="auto"/>
              <w:jc w:val="center"/>
              <w:rPr>
                <w:rFonts w:ascii="宋体" w:hAnsi="宋体" w:cs="宋体"/>
                <w:kern w:val="0"/>
              </w:rPr>
            </w:pPr>
            <w:r>
              <w:rPr>
                <w:rFonts w:hint="eastAsia" w:ascii="宋体" w:hAnsi="宋体" w:cs="宋体"/>
                <w:kern w:val="0"/>
              </w:rPr>
              <w:t>其它要求</w:t>
            </w:r>
          </w:p>
        </w:tc>
        <w:tc>
          <w:tcPr>
            <w:tcW w:w="4944" w:type="dxa"/>
            <w:vAlign w:val="center"/>
          </w:tcPr>
          <w:p>
            <w:pPr>
              <w:snapToGrid w:val="0"/>
              <w:spacing w:before="120" w:beforeLines="50" w:line="360" w:lineRule="auto"/>
              <w:rPr>
                <w:rFonts w:ascii="宋体" w:hAnsi="宋体" w:cs="宋体"/>
                <w:b/>
                <w:bCs/>
                <w:kern w:val="0"/>
                <w:sz w:val="32"/>
                <w:u w:val="single"/>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6" w:hRule="atLeast"/>
        </w:trPr>
        <w:tc>
          <w:tcPr>
            <w:tcW w:w="789" w:type="dxa"/>
            <w:vMerge w:val="restart"/>
            <w:vAlign w:val="center"/>
          </w:tcPr>
          <w:p>
            <w:pPr>
              <w:spacing w:line="446" w:lineRule="exact"/>
              <w:jc w:val="center"/>
              <w:rPr>
                <w:rFonts w:ascii="宋体" w:hAnsi="宋体" w:cs="宋体"/>
              </w:rPr>
            </w:pPr>
            <w:r>
              <w:rPr>
                <w:rFonts w:hint="eastAsia" w:ascii="宋体" w:hAnsi="宋体" w:cs="宋体"/>
                <w:kern w:val="0"/>
              </w:rPr>
              <w:t>2.1.3</w:t>
            </w:r>
          </w:p>
        </w:tc>
        <w:tc>
          <w:tcPr>
            <w:tcW w:w="1511" w:type="dxa"/>
            <w:vMerge w:val="restart"/>
            <w:textDirection w:val="tbRlV"/>
            <w:vAlign w:val="bottom"/>
          </w:tcPr>
          <w:p>
            <w:pPr>
              <w:snapToGrid w:val="0"/>
              <w:spacing w:line="360" w:lineRule="auto"/>
              <w:ind w:left="113" w:right="113"/>
              <w:jc w:val="right"/>
              <w:rPr>
                <w:rFonts w:ascii="宋体" w:hAnsi="宋体" w:cs="宋体"/>
              </w:rPr>
            </w:pPr>
            <w:r>
              <w:rPr>
                <w:rFonts w:hint="eastAsia" w:ascii="宋体" w:hAnsi="宋体" w:cs="宋体"/>
                <w:kern w:val="0"/>
              </w:rPr>
              <w:t>响应性评审标准</w:t>
            </w:r>
          </w:p>
        </w:tc>
        <w:tc>
          <w:tcPr>
            <w:tcW w:w="1923" w:type="dxa"/>
            <w:gridSpan w:val="2"/>
            <w:vAlign w:val="center"/>
          </w:tcPr>
          <w:p>
            <w:pPr>
              <w:snapToGrid w:val="0"/>
              <w:spacing w:line="446" w:lineRule="exact"/>
              <w:jc w:val="center"/>
              <w:rPr>
                <w:rFonts w:ascii="宋体" w:hAnsi="宋体" w:cs="宋体"/>
                <w:kern w:val="0"/>
              </w:rPr>
            </w:pPr>
            <w:r>
              <w:rPr>
                <w:rFonts w:hint="eastAsia" w:ascii="宋体" w:hAnsi="宋体" w:cs="宋体"/>
                <w:kern w:val="0"/>
              </w:rPr>
              <w:t>投标内容</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41" w:lineRule="exact"/>
              <w:jc w:val="center"/>
              <w:rPr>
                <w:rFonts w:ascii="宋体" w:hAnsi="宋体" w:cs="宋体"/>
                <w:kern w:val="0"/>
              </w:rPr>
            </w:pPr>
            <w:r>
              <w:rPr>
                <w:rFonts w:hint="eastAsia" w:ascii="宋体" w:hAnsi="宋体" w:cs="宋体"/>
                <w:kern w:val="0"/>
              </w:rPr>
              <w:t>工期</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51" w:lineRule="exact"/>
              <w:jc w:val="center"/>
              <w:rPr>
                <w:rFonts w:ascii="宋体" w:hAnsi="宋体" w:cs="宋体"/>
                <w:kern w:val="0"/>
              </w:rPr>
            </w:pPr>
            <w:r>
              <w:rPr>
                <w:rFonts w:hint="eastAsia" w:ascii="宋体" w:hAnsi="宋体" w:cs="宋体"/>
                <w:kern w:val="0"/>
              </w:rPr>
              <w:t>工程质量</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符合第二章“投标人须知”第1.3.3项规定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41" w:lineRule="exact"/>
              <w:jc w:val="center"/>
              <w:rPr>
                <w:rFonts w:ascii="宋体" w:hAnsi="宋体" w:cs="宋体"/>
                <w:kern w:val="0"/>
              </w:rPr>
            </w:pPr>
            <w:r>
              <w:rPr>
                <w:rFonts w:hint="eastAsia" w:ascii="宋体" w:hAnsi="宋体" w:cs="宋体"/>
                <w:kern w:val="0"/>
              </w:rPr>
              <w:t>投标有效期</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投标保证金</w:t>
            </w:r>
          </w:p>
        </w:tc>
        <w:tc>
          <w:tcPr>
            <w:tcW w:w="4944" w:type="dxa"/>
            <w:vAlign w:val="center"/>
          </w:tcPr>
          <w:p>
            <w:pPr>
              <w:snapToGrid w:val="0"/>
              <w:spacing w:before="120" w:beforeLines="50" w:line="276" w:lineRule="auto"/>
              <w:ind w:firstLine="420" w:firstLineChars="200"/>
              <w:rPr>
                <w:rFonts w:ascii="宋体" w:hAnsi="宋体" w:cs="宋体"/>
                <w:kern w:val="0"/>
              </w:rPr>
            </w:pPr>
            <w:r>
              <w:rPr>
                <w:rFonts w:hint="eastAsia" w:ascii="宋体" w:hAnsi="宋体" w:cs="宋体"/>
                <w:kern w:val="0"/>
              </w:rPr>
              <w:t>符合第二章“投标人须知前附表”第3.4.1项规定，并符合下列要求：</w:t>
            </w:r>
          </w:p>
          <w:p>
            <w:pPr>
              <w:numPr>
                <w:ilvl w:val="0"/>
                <w:numId w:val="1"/>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投标保证金为无条件担保；</w:t>
            </w:r>
          </w:p>
          <w:p>
            <w:pPr>
              <w:numPr>
                <w:ilvl w:val="0"/>
                <w:numId w:val="1"/>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投标保证金的受益人名称与招标人规定的受益人一致；</w:t>
            </w:r>
          </w:p>
          <w:p>
            <w:pPr>
              <w:numPr>
                <w:ilvl w:val="0"/>
                <w:numId w:val="1"/>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投标保证金的金额符合招标文件规定的金额；</w:t>
            </w:r>
          </w:p>
          <w:p>
            <w:pPr>
              <w:numPr>
                <w:ilvl w:val="0"/>
                <w:numId w:val="1"/>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投标保证金有效期为投标有效期加30天；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vAlign w:val="center"/>
          </w:tcPr>
          <w:p>
            <w:pPr>
              <w:keepNext/>
              <w:keepLines/>
              <w:snapToGrid w:val="0"/>
              <w:spacing w:before="260" w:after="260" w:line="360" w:lineRule="auto"/>
              <w:jc w:val="center"/>
              <w:outlineLvl w:val="2"/>
              <w:rPr>
                <w:rFonts w:ascii="宋体" w:hAnsi="宋体" w:cs="宋体"/>
              </w:rPr>
            </w:pPr>
          </w:p>
        </w:tc>
        <w:tc>
          <w:tcPr>
            <w:tcW w:w="1511" w:type="dxa"/>
            <w:vMerge w:val="continue"/>
            <w:textDirection w:val="tbRlV"/>
            <w:vAlign w:val="center"/>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360" w:lineRule="auto"/>
              <w:jc w:val="center"/>
              <w:rPr>
                <w:rFonts w:ascii="宋体" w:hAnsi="宋体" w:cs="宋体"/>
                <w:kern w:val="0"/>
              </w:rPr>
            </w:pPr>
            <w:r>
              <w:rPr>
                <w:rFonts w:hint="eastAsia" w:ascii="宋体" w:hAnsi="宋体" w:cs="宋体"/>
                <w:kern w:val="0"/>
              </w:rPr>
              <w:t>权利义务</w:t>
            </w:r>
          </w:p>
        </w:tc>
        <w:tc>
          <w:tcPr>
            <w:tcW w:w="4944" w:type="dxa"/>
            <w:vAlign w:val="center"/>
          </w:tcPr>
          <w:p>
            <w:pPr>
              <w:snapToGrid w:val="0"/>
              <w:spacing w:before="120" w:beforeLines="50" w:line="360" w:lineRule="auto"/>
              <w:ind w:firstLine="420" w:firstLineChars="200"/>
              <w:rPr>
                <w:rFonts w:ascii="宋体" w:hAnsi="宋体" w:cs="宋体"/>
                <w:kern w:val="0"/>
              </w:rPr>
            </w:pPr>
            <w:r>
              <w:rPr>
                <w:rFonts w:hint="eastAsia" w:ascii="宋体" w:hAnsi="宋体" w:cs="宋体"/>
                <w:kern w:val="0"/>
              </w:rPr>
              <w:t>1.符合第四章“合同格式”规定，投标文件不应附有招标人不能接受的条件。</w:t>
            </w:r>
          </w:p>
          <w:p>
            <w:pPr>
              <w:snapToGrid w:val="0"/>
              <w:spacing w:before="120" w:beforeLines="50" w:line="360" w:lineRule="auto"/>
              <w:ind w:firstLine="420" w:firstLineChars="200"/>
              <w:rPr>
                <w:rFonts w:ascii="宋体" w:hAnsi="宋体" w:cs="宋体"/>
                <w:kern w:val="0"/>
              </w:rPr>
            </w:pPr>
            <w:r>
              <w:rPr>
                <w:rFonts w:hint="eastAsia" w:ascii="宋体" w:hAnsi="宋体" w:cs="宋体"/>
                <w:kern w:val="0"/>
              </w:rPr>
              <w:t>2.投标文件应对招标文件的实质性要求进行响应，不得偏离招标文件的实质要求。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41" w:hRule="atLeast"/>
        </w:trPr>
        <w:tc>
          <w:tcPr>
            <w:tcW w:w="789" w:type="dxa"/>
            <w:vAlign w:val="center"/>
          </w:tcPr>
          <w:p>
            <w:pPr>
              <w:snapToGrid w:val="0"/>
              <w:spacing w:before="120" w:beforeLines="50" w:line="360" w:lineRule="auto"/>
              <w:rPr>
                <w:rFonts w:ascii="宋体" w:hAnsi="宋体" w:cs="宋体"/>
                <w:kern w:val="0"/>
                <w:sz w:val="24"/>
              </w:rPr>
            </w:pPr>
            <w:r>
              <w:rPr>
                <w:rFonts w:hint="eastAsia" w:ascii="宋体" w:hAnsi="宋体" w:cs="宋体"/>
                <w:kern w:val="0"/>
                <w:szCs w:val="21"/>
              </w:rPr>
              <w:t>3.4</w:t>
            </w:r>
          </w:p>
        </w:tc>
        <w:tc>
          <w:tcPr>
            <w:tcW w:w="1511" w:type="dxa"/>
            <w:vAlign w:val="center"/>
          </w:tcPr>
          <w:p>
            <w:pPr>
              <w:snapToGrid w:val="0"/>
              <w:spacing w:before="120" w:beforeLines="50" w:line="360" w:lineRule="auto"/>
              <w:ind w:right="113"/>
              <w:jc w:val="center"/>
              <w:rPr>
                <w:rFonts w:ascii="宋体" w:hAnsi="宋体" w:cs="宋体"/>
                <w:kern w:val="0"/>
              </w:rPr>
            </w:pPr>
            <w:r>
              <w:rPr>
                <w:rFonts w:hint="eastAsia" w:ascii="宋体" w:hAnsi="宋体" w:cs="宋体"/>
              </w:rPr>
              <w:t>评标结果</w:t>
            </w:r>
          </w:p>
        </w:tc>
        <w:tc>
          <w:tcPr>
            <w:tcW w:w="6867" w:type="dxa"/>
            <w:gridSpan w:val="3"/>
            <w:vAlign w:val="center"/>
          </w:tcPr>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rPr>
              <w:t>1、如经过对所有投标人的投标文件进行评审，有效投标不足三个使得投标明显缺乏竞争的，评标委员会有权否决全部投标。</w:t>
            </w:r>
          </w:p>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2、评标</w:t>
            </w:r>
            <w:r>
              <w:rPr>
                <w:rFonts w:hint="eastAsia" w:ascii="宋体" w:hAnsi="宋体" w:cs="宋体"/>
                <w:spacing w:val="1"/>
                <w:kern w:val="0"/>
                <w:szCs w:val="21"/>
              </w:rPr>
              <w:t>委</w:t>
            </w:r>
            <w:r>
              <w:rPr>
                <w:rFonts w:hint="eastAsia" w:ascii="宋体" w:hAnsi="宋体" w:cs="宋体"/>
                <w:kern w:val="0"/>
                <w:szCs w:val="21"/>
              </w:rPr>
              <w:t>员会按照</w:t>
            </w:r>
            <w:r>
              <w:rPr>
                <w:rFonts w:hint="eastAsia" w:ascii="宋体" w:hAnsi="宋体" w:cs="宋体"/>
                <w:spacing w:val="1"/>
                <w:kern w:val="0"/>
                <w:szCs w:val="21"/>
              </w:rPr>
              <w:t>评</w:t>
            </w:r>
            <w:r>
              <w:rPr>
                <w:rFonts w:hint="eastAsia" w:ascii="宋体" w:hAnsi="宋体" w:cs="宋体"/>
                <w:kern w:val="0"/>
                <w:szCs w:val="21"/>
              </w:rPr>
              <w:t>审标准评审，推荐中标候选人。</w:t>
            </w:r>
          </w:p>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3、评标委员会完成评标后，应当向招标人提交书面评标报告。</w:t>
            </w:r>
          </w:p>
          <w:p>
            <w:pPr>
              <w:autoSpaceDE w:val="0"/>
              <w:autoSpaceDN w:val="0"/>
              <w:adjustRightInd w:val="0"/>
              <w:snapToGrid w:val="0"/>
              <w:spacing w:line="360" w:lineRule="auto"/>
              <w:jc w:val="left"/>
              <w:rPr>
                <w:rFonts w:ascii="宋体" w:hAnsi="宋体" w:cs="宋体"/>
                <w:kern w:val="0"/>
              </w:rPr>
            </w:pPr>
            <w:r>
              <w:rPr>
                <w:rFonts w:hint="eastAsia" w:ascii="宋体" w:hAnsi="宋体" w:cs="宋体"/>
                <w:kern w:val="0"/>
              </w:rPr>
              <w:t>4、招标人将按中标候选人排序进行商务谈判后最终确定中标人。如与第一中标候选人商务谈判不能达成一致时，才与第二中标候选人进行商务谈判，以此类推。</w:t>
            </w:r>
          </w:p>
        </w:tc>
      </w:tr>
    </w:tbl>
    <w:p>
      <w:pPr>
        <w:spacing w:line="480" w:lineRule="auto"/>
        <w:rPr>
          <w:rFonts w:ascii="宋体" w:hAnsi="宋体" w:cs="宋体"/>
          <w:b/>
          <w:sz w:val="32"/>
          <w:szCs w:val="32"/>
        </w:rPr>
      </w:pPr>
      <w:bookmarkStart w:id="294" w:name="_Toc287607801"/>
      <w:bookmarkStart w:id="295" w:name="_Toc277082608"/>
      <w:bookmarkStart w:id="296" w:name="_Toc209605549"/>
      <w:bookmarkStart w:id="297" w:name="_Toc287620740"/>
      <w:bookmarkStart w:id="298" w:name="_Toc224103373"/>
    </w:p>
    <w:p>
      <w:pPr>
        <w:spacing w:line="480" w:lineRule="auto"/>
        <w:rPr>
          <w:rFonts w:ascii="宋体" w:hAnsi="宋体" w:cs="宋体"/>
          <w:b/>
          <w:sz w:val="32"/>
          <w:szCs w:val="32"/>
        </w:rPr>
        <w:sectPr>
          <w:headerReference r:id="rId16" w:type="default"/>
          <w:footerReference r:id="rId17" w:type="default"/>
          <w:footerReference r:id="rId18" w:type="even"/>
          <w:pgSz w:w="11906" w:h="16838"/>
          <w:pgMar w:top="1418" w:right="1361" w:bottom="1418" w:left="1418" w:header="851" w:footer="992" w:gutter="0"/>
          <w:pgNumType w:chapStyle="1"/>
          <w:cols w:space="720" w:num="1"/>
          <w:docGrid w:linePitch="312" w:charSpace="0"/>
        </w:sectPr>
      </w:pPr>
    </w:p>
    <w:p>
      <w:pPr>
        <w:rPr>
          <w:rFonts w:ascii="宋体" w:hAnsi="宋体" w:cs="宋体"/>
          <w:b/>
          <w:sz w:val="32"/>
          <w:szCs w:val="32"/>
        </w:rPr>
      </w:pPr>
      <w:r>
        <w:rPr>
          <w:rFonts w:hint="eastAsia" w:ascii="宋体" w:hAnsi="宋体" w:cs="宋体"/>
          <w:b/>
          <w:sz w:val="32"/>
          <w:szCs w:val="32"/>
        </w:rPr>
        <w:t>1.  评标方法</w:t>
      </w:r>
      <w:bookmarkEnd w:id="294"/>
      <w:bookmarkEnd w:id="295"/>
      <w:bookmarkEnd w:id="296"/>
      <w:bookmarkEnd w:id="297"/>
      <w:bookmarkEnd w:id="298"/>
    </w:p>
    <w:p>
      <w:pPr>
        <w:autoSpaceDE w:val="0"/>
        <w:autoSpaceDN w:val="0"/>
        <w:adjustRightInd w:val="0"/>
        <w:snapToGrid w:val="0"/>
        <w:spacing w:line="360" w:lineRule="auto"/>
        <w:ind w:firstLine="420"/>
        <w:rPr>
          <w:rFonts w:ascii="宋体" w:hAnsi="宋体" w:cs="宋体"/>
          <w:kern w:val="0"/>
          <w:szCs w:val="21"/>
        </w:rPr>
      </w:pPr>
      <w:bookmarkStart w:id="299" w:name="_Toc287620741"/>
      <w:bookmarkStart w:id="300" w:name="_Toc200513188"/>
      <w:bookmarkStart w:id="301" w:name="_Toc224103374"/>
      <w:bookmarkStart w:id="302" w:name="_Toc287607802"/>
      <w:bookmarkStart w:id="303" w:name="_Toc277082609"/>
      <w:r>
        <w:rPr>
          <w:rFonts w:hint="eastAsia" w:ascii="宋体" w:hAnsi="宋体" w:cs="宋体"/>
          <w:kern w:val="0"/>
          <w:szCs w:val="21"/>
        </w:rPr>
        <w:t>本次评标采用经评审的合理低价评标法</w:t>
      </w:r>
      <w:r>
        <w:rPr>
          <w:rFonts w:hint="eastAsia" w:ascii="宋体" w:hAnsi="宋体" w:cs="宋体"/>
          <w:spacing w:val="-31"/>
          <w:kern w:val="0"/>
          <w:szCs w:val="21"/>
        </w:rPr>
        <w:t>。</w:t>
      </w:r>
      <w:r>
        <w:rPr>
          <w:rFonts w:hint="eastAsia" w:ascii="宋体" w:hAnsi="宋体" w:cs="宋体"/>
          <w:kern w:val="0"/>
          <w:szCs w:val="21"/>
        </w:rPr>
        <w:t>价格相同时由招标人自行确定先后顺序。</w:t>
      </w:r>
    </w:p>
    <w:p>
      <w:pPr>
        <w:pStyle w:val="3"/>
        <w:spacing w:before="0" w:after="0"/>
        <w:rPr>
          <w:rFonts w:ascii="宋体" w:hAnsi="宋体" w:cs="宋体"/>
        </w:rPr>
      </w:pPr>
      <w:r>
        <w:rPr>
          <w:rFonts w:hint="eastAsia" w:ascii="宋体" w:hAnsi="宋体" w:cs="宋体"/>
        </w:rPr>
        <w:t>2.  评审标准</w:t>
      </w:r>
      <w:bookmarkEnd w:id="299"/>
      <w:bookmarkEnd w:id="300"/>
      <w:bookmarkEnd w:id="301"/>
      <w:bookmarkEnd w:id="302"/>
      <w:bookmarkEnd w:id="303"/>
    </w:p>
    <w:p>
      <w:pPr>
        <w:pStyle w:val="4"/>
        <w:spacing w:before="0" w:after="0"/>
        <w:rPr>
          <w:rFonts w:ascii="宋体" w:hAnsi="宋体" w:cs="宋体"/>
        </w:rPr>
      </w:pPr>
      <w:bookmarkStart w:id="304" w:name="_Toc200513189"/>
      <w:bookmarkStart w:id="305" w:name="_Toc224103375"/>
      <w:bookmarkStart w:id="306" w:name="_Toc287607803"/>
      <w:bookmarkStart w:id="307" w:name="_Toc277082610"/>
      <w:bookmarkStart w:id="308" w:name="_Toc287620742"/>
      <w:r>
        <w:rPr>
          <w:rFonts w:hint="eastAsia" w:ascii="宋体" w:hAnsi="宋体" w:cs="宋体"/>
        </w:rPr>
        <w:t>2.1  初步评审标准</w:t>
      </w:r>
      <w:bookmarkEnd w:id="304"/>
      <w:bookmarkEnd w:id="305"/>
      <w:bookmarkEnd w:id="306"/>
      <w:bookmarkEnd w:id="307"/>
      <w:bookmarkEnd w:id="308"/>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2.1.1形式评审标准：见评标办法前附表。</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2.1.2资格评审标准：见评标办法前附表。</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2.1.3响应性评审标准：见评标办法前附表。</w:t>
      </w:r>
    </w:p>
    <w:p>
      <w:pPr>
        <w:pStyle w:val="4"/>
        <w:spacing w:before="0" w:after="0"/>
        <w:rPr>
          <w:rFonts w:ascii="宋体" w:hAnsi="宋体" w:cs="宋体"/>
        </w:rPr>
      </w:pPr>
      <w:bookmarkStart w:id="309" w:name="_Toc287607804"/>
      <w:bookmarkStart w:id="310" w:name="_Toc224103376"/>
      <w:bookmarkStart w:id="311" w:name="_Toc287620743"/>
      <w:bookmarkStart w:id="312" w:name="_Toc277082611"/>
      <w:bookmarkStart w:id="313" w:name="_Toc200513190"/>
      <w:r>
        <w:rPr>
          <w:rFonts w:hint="eastAsia" w:ascii="宋体" w:hAnsi="宋体" w:cs="宋体"/>
        </w:rPr>
        <w:t>2.2  详细评审标准</w:t>
      </w:r>
      <w:bookmarkEnd w:id="309"/>
      <w:bookmarkEnd w:id="310"/>
      <w:bookmarkEnd w:id="311"/>
      <w:bookmarkEnd w:id="312"/>
      <w:bookmarkEnd w:id="313"/>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详细评审标准：见评标办法前附表。</w:t>
      </w:r>
    </w:p>
    <w:p>
      <w:pPr>
        <w:pStyle w:val="3"/>
        <w:spacing w:before="0" w:after="0"/>
        <w:rPr>
          <w:rFonts w:ascii="宋体" w:hAnsi="宋体" w:cs="宋体"/>
        </w:rPr>
      </w:pPr>
      <w:bookmarkStart w:id="314" w:name="_Toc224103377"/>
      <w:bookmarkStart w:id="315" w:name="_Toc200513191"/>
      <w:bookmarkStart w:id="316" w:name="_Toc287607805"/>
      <w:bookmarkStart w:id="317" w:name="_Toc277082612"/>
      <w:bookmarkStart w:id="318" w:name="_Toc287620744"/>
      <w:r>
        <w:rPr>
          <w:rFonts w:hint="eastAsia" w:ascii="宋体" w:hAnsi="宋体" w:cs="宋体"/>
        </w:rPr>
        <w:t>3.  评标程序</w:t>
      </w:r>
      <w:bookmarkEnd w:id="314"/>
      <w:bookmarkEnd w:id="315"/>
      <w:bookmarkEnd w:id="316"/>
      <w:bookmarkEnd w:id="317"/>
      <w:bookmarkEnd w:id="318"/>
    </w:p>
    <w:p>
      <w:pPr>
        <w:pStyle w:val="4"/>
        <w:spacing w:before="0" w:after="0"/>
        <w:rPr>
          <w:rFonts w:ascii="宋体" w:hAnsi="宋体" w:cs="宋体"/>
        </w:rPr>
      </w:pPr>
      <w:bookmarkStart w:id="319" w:name="_Toc224103378"/>
      <w:bookmarkStart w:id="320" w:name="_Toc287607806"/>
      <w:bookmarkStart w:id="321" w:name="_Toc200513192"/>
      <w:bookmarkStart w:id="322" w:name="_Toc277082613"/>
      <w:bookmarkStart w:id="323" w:name="_Toc287620745"/>
      <w:r>
        <w:rPr>
          <w:rFonts w:hint="eastAsia" w:ascii="宋体" w:hAnsi="宋体" w:cs="宋体"/>
        </w:rPr>
        <w:t>3.1  初步评审</w:t>
      </w:r>
      <w:bookmarkEnd w:id="319"/>
      <w:bookmarkEnd w:id="320"/>
      <w:bookmarkEnd w:id="321"/>
      <w:bookmarkEnd w:id="322"/>
      <w:bookmarkEnd w:id="323"/>
    </w:p>
    <w:p>
      <w:pPr>
        <w:autoSpaceDE w:val="0"/>
        <w:autoSpaceDN w:val="0"/>
        <w:adjustRightInd w:val="0"/>
        <w:snapToGrid w:val="0"/>
        <w:spacing w:line="360" w:lineRule="auto"/>
        <w:ind w:firstLine="420"/>
        <w:rPr>
          <w:rFonts w:ascii="宋体" w:hAnsi="宋体" w:cs="宋体"/>
          <w:kern w:val="0"/>
          <w:szCs w:val="21"/>
        </w:rPr>
      </w:pPr>
      <w:r>
        <w:rPr>
          <w:rFonts w:hint="eastAsia" w:ascii="宋体" w:hAnsi="宋体" w:cs="宋体"/>
          <w:kern w:val="0"/>
          <w:szCs w:val="21"/>
        </w:rPr>
        <w:t>3.</w:t>
      </w:r>
      <w:r>
        <w:rPr>
          <w:rFonts w:hint="eastAsia" w:ascii="宋体" w:hAnsi="宋体" w:cs="宋体"/>
          <w:spacing w:val="-1"/>
          <w:kern w:val="0"/>
          <w:szCs w:val="21"/>
        </w:rPr>
        <w:t>1</w:t>
      </w:r>
      <w:r>
        <w:rPr>
          <w:rFonts w:hint="eastAsia" w:ascii="宋体" w:hAnsi="宋体" w:cs="宋体"/>
          <w:kern w:val="0"/>
          <w:szCs w:val="21"/>
        </w:rPr>
        <w:t>.1评标</w:t>
      </w:r>
      <w:r>
        <w:rPr>
          <w:rFonts w:hint="eastAsia" w:ascii="宋体" w:hAnsi="宋体" w:cs="宋体"/>
          <w:spacing w:val="-1"/>
          <w:kern w:val="0"/>
          <w:szCs w:val="21"/>
        </w:rPr>
        <w:t>委</w:t>
      </w:r>
      <w:r>
        <w:rPr>
          <w:rFonts w:hint="eastAsia" w:ascii="宋体" w:hAnsi="宋体" w:cs="宋体"/>
          <w:kern w:val="0"/>
          <w:szCs w:val="21"/>
        </w:rPr>
        <w:t>员会按本评标办法进行初步评审。有一项不符合评审标准的，有权作废标处理。</w:t>
      </w:r>
    </w:p>
    <w:p>
      <w:pPr>
        <w:autoSpaceDE w:val="0"/>
        <w:autoSpaceDN w:val="0"/>
        <w:adjustRightInd w:val="0"/>
        <w:snapToGrid w:val="0"/>
        <w:spacing w:line="360" w:lineRule="auto"/>
        <w:ind w:firstLine="424" w:firstLineChars="200"/>
        <w:jc w:val="left"/>
        <w:rPr>
          <w:rFonts w:ascii="宋体" w:hAnsi="宋体" w:cs="宋体"/>
          <w:kern w:val="0"/>
          <w:szCs w:val="21"/>
        </w:rPr>
      </w:pPr>
      <w:r>
        <w:rPr>
          <w:rFonts w:hint="eastAsia" w:ascii="宋体" w:hAnsi="宋体" w:cs="宋体"/>
          <w:spacing w:val="1"/>
          <w:kern w:val="0"/>
          <w:szCs w:val="21"/>
        </w:rPr>
        <w:t>3</w:t>
      </w:r>
      <w:r>
        <w:rPr>
          <w:rFonts w:hint="eastAsia" w:ascii="宋体" w:hAnsi="宋体" w:cs="宋体"/>
          <w:kern w:val="0"/>
          <w:szCs w:val="21"/>
        </w:rPr>
        <w:t>.1.2投标</w:t>
      </w:r>
      <w:r>
        <w:rPr>
          <w:rFonts w:hint="eastAsia" w:ascii="宋体" w:hAnsi="宋体" w:cs="宋体"/>
          <w:spacing w:val="-1"/>
          <w:kern w:val="0"/>
          <w:szCs w:val="21"/>
        </w:rPr>
        <w:t>人</w:t>
      </w:r>
      <w:r>
        <w:rPr>
          <w:rFonts w:hint="eastAsia" w:ascii="宋体" w:hAnsi="宋体" w:cs="宋体"/>
          <w:kern w:val="0"/>
          <w:szCs w:val="21"/>
        </w:rPr>
        <w:t>有以下情形之一的，其投标作废标处理：</w:t>
      </w:r>
    </w:p>
    <w:p>
      <w:pPr>
        <w:autoSpaceDE w:val="0"/>
        <w:autoSpaceDN w:val="0"/>
        <w:adjustRightInd w:val="0"/>
        <w:snapToGrid w:val="0"/>
        <w:spacing w:line="360" w:lineRule="auto"/>
        <w:ind w:left="424" w:leftChars="202"/>
        <w:jc w:val="left"/>
        <w:rPr>
          <w:rFonts w:ascii="宋体" w:hAnsi="宋体" w:cs="宋体"/>
          <w:kern w:val="0"/>
          <w:szCs w:val="21"/>
        </w:rPr>
      </w:pPr>
      <w:r>
        <w:rPr>
          <w:rFonts w:hint="eastAsia" w:ascii="宋体" w:hAnsi="宋体" w:cs="宋体"/>
          <w:kern w:val="0"/>
          <w:szCs w:val="21"/>
        </w:rPr>
        <w:t>（</w:t>
      </w:r>
      <w:r>
        <w:rPr>
          <w:rFonts w:hint="eastAsia" w:ascii="宋体" w:hAnsi="宋体" w:cs="宋体"/>
          <w:spacing w:val="1"/>
          <w:kern w:val="0"/>
          <w:szCs w:val="21"/>
        </w:rPr>
        <w:t>1</w:t>
      </w:r>
      <w:r>
        <w:rPr>
          <w:rFonts w:hint="eastAsia" w:ascii="宋体" w:hAnsi="宋体" w:cs="宋体"/>
          <w:kern w:val="0"/>
          <w:szCs w:val="21"/>
        </w:rPr>
        <w:t>）第二</w:t>
      </w:r>
      <w:r>
        <w:rPr>
          <w:rFonts w:hint="eastAsia" w:ascii="宋体" w:hAnsi="宋体" w:cs="宋体"/>
          <w:spacing w:val="-1"/>
          <w:kern w:val="0"/>
          <w:szCs w:val="21"/>
        </w:rPr>
        <w:t>章</w:t>
      </w:r>
      <w:r>
        <w:rPr>
          <w:rFonts w:hint="eastAsia" w:ascii="宋体" w:hAnsi="宋体" w:cs="宋体"/>
          <w:kern w:val="0"/>
          <w:szCs w:val="21"/>
        </w:rPr>
        <w:t>“投标人须知”第</w:t>
      </w:r>
      <w:r>
        <w:rPr>
          <w:rFonts w:hint="eastAsia" w:ascii="宋体" w:hAnsi="宋体" w:cs="宋体"/>
          <w:spacing w:val="1"/>
          <w:kern w:val="0"/>
          <w:szCs w:val="21"/>
        </w:rPr>
        <w:t>1</w:t>
      </w:r>
      <w:r>
        <w:rPr>
          <w:rFonts w:hint="eastAsia" w:ascii="宋体" w:hAnsi="宋体" w:cs="宋体"/>
          <w:spacing w:val="-1"/>
          <w:kern w:val="0"/>
          <w:szCs w:val="21"/>
        </w:rPr>
        <w:t>.</w:t>
      </w:r>
      <w:r>
        <w:rPr>
          <w:rFonts w:hint="eastAsia" w:ascii="宋体" w:hAnsi="宋体" w:cs="宋体"/>
          <w:spacing w:val="1"/>
          <w:kern w:val="0"/>
          <w:szCs w:val="21"/>
        </w:rPr>
        <w:t>4</w:t>
      </w:r>
      <w:r>
        <w:rPr>
          <w:rFonts w:hint="eastAsia" w:ascii="宋体" w:hAnsi="宋体" w:cs="宋体"/>
          <w:spacing w:val="-1"/>
          <w:kern w:val="0"/>
          <w:szCs w:val="21"/>
        </w:rPr>
        <w:t>.</w:t>
      </w:r>
      <w:r>
        <w:rPr>
          <w:rFonts w:hint="eastAsia" w:ascii="宋体" w:hAnsi="宋体" w:cs="宋体"/>
          <w:kern w:val="0"/>
          <w:szCs w:val="21"/>
        </w:rPr>
        <w:t>3项规定的任何一种情形的；</w:t>
      </w:r>
    </w:p>
    <w:p>
      <w:pPr>
        <w:autoSpaceDE w:val="0"/>
        <w:autoSpaceDN w:val="0"/>
        <w:adjustRightInd w:val="0"/>
        <w:snapToGrid w:val="0"/>
        <w:spacing w:line="360" w:lineRule="auto"/>
        <w:ind w:left="424" w:leftChars="202"/>
        <w:jc w:val="left"/>
        <w:rPr>
          <w:rFonts w:ascii="宋体" w:hAnsi="宋体" w:cs="宋体"/>
          <w:kern w:val="0"/>
          <w:szCs w:val="21"/>
        </w:rPr>
      </w:pPr>
      <w:r>
        <w:rPr>
          <w:rFonts w:hint="eastAsia" w:ascii="宋体" w:hAnsi="宋体" w:cs="宋体"/>
          <w:kern w:val="0"/>
          <w:szCs w:val="21"/>
        </w:rPr>
        <w:t>（</w:t>
      </w:r>
      <w:r>
        <w:rPr>
          <w:rFonts w:hint="eastAsia" w:ascii="宋体" w:hAnsi="宋体" w:cs="宋体"/>
          <w:spacing w:val="1"/>
          <w:kern w:val="0"/>
          <w:szCs w:val="21"/>
        </w:rPr>
        <w:t>2</w:t>
      </w:r>
      <w:r>
        <w:rPr>
          <w:rFonts w:hint="eastAsia" w:ascii="宋体" w:hAnsi="宋体" w:cs="宋体"/>
          <w:kern w:val="0"/>
          <w:szCs w:val="21"/>
        </w:rPr>
        <w:t>）串通</w:t>
      </w:r>
      <w:r>
        <w:rPr>
          <w:rFonts w:hint="eastAsia" w:ascii="宋体" w:hAnsi="宋体" w:cs="宋体"/>
          <w:spacing w:val="-1"/>
          <w:kern w:val="0"/>
          <w:szCs w:val="21"/>
        </w:rPr>
        <w:t>投</w:t>
      </w:r>
      <w:r>
        <w:rPr>
          <w:rFonts w:hint="eastAsia" w:ascii="宋体" w:hAnsi="宋体" w:cs="宋体"/>
          <w:kern w:val="0"/>
          <w:szCs w:val="21"/>
        </w:rPr>
        <w:t>标或弄虚作假或有其他违法行为的；</w:t>
      </w:r>
    </w:p>
    <w:p>
      <w:pPr>
        <w:autoSpaceDE w:val="0"/>
        <w:autoSpaceDN w:val="0"/>
        <w:adjustRightInd w:val="0"/>
        <w:snapToGrid w:val="0"/>
        <w:spacing w:line="360" w:lineRule="auto"/>
        <w:ind w:left="424" w:leftChars="202"/>
        <w:jc w:val="left"/>
        <w:rPr>
          <w:rFonts w:ascii="宋体" w:hAnsi="宋体" w:cs="宋体"/>
          <w:kern w:val="0"/>
          <w:szCs w:val="21"/>
        </w:rPr>
      </w:pPr>
      <w:r>
        <w:rPr>
          <w:rFonts w:hint="eastAsia" w:ascii="宋体" w:hAnsi="宋体" w:cs="宋体"/>
          <w:kern w:val="0"/>
          <w:szCs w:val="21"/>
        </w:rPr>
        <w:t>（</w:t>
      </w:r>
      <w:r>
        <w:rPr>
          <w:rFonts w:hint="eastAsia" w:ascii="宋体" w:hAnsi="宋体" w:cs="宋体"/>
          <w:spacing w:val="1"/>
          <w:kern w:val="0"/>
          <w:szCs w:val="21"/>
        </w:rPr>
        <w:t>3</w:t>
      </w:r>
      <w:r>
        <w:rPr>
          <w:rFonts w:hint="eastAsia" w:ascii="宋体" w:hAnsi="宋体" w:cs="宋体"/>
          <w:kern w:val="0"/>
          <w:szCs w:val="21"/>
        </w:rPr>
        <w:t>）不按</w:t>
      </w:r>
      <w:r>
        <w:rPr>
          <w:rFonts w:hint="eastAsia" w:ascii="宋体" w:hAnsi="宋体" w:cs="宋体"/>
          <w:spacing w:val="-1"/>
          <w:kern w:val="0"/>
          <w:szCs w:val="21"/>
        </w:rPr>
        <w:t>评</w:t>
      </w:r>
      <w:r>
        <w:rPr>
          <w:rFonts w:hint="eastAsia" w:ascii="宋体" w:hAnsi="宋体" w:cs="宋体"/>
          <w:kern w:val="0"/>
          <w:szCs w:val="21"/>
        </w:rPr>
        <w:t>标委员会要求澄清、说明或补正的。</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3.</w:t>
      </w:r>
      <w:r>
        <w:rPr>
          <w:rFonts w:hint="eastAsia" w:ascii="宋体" w:hAnsi="宋体" w:cs="宋体"/>
          <w:spacing w:val="-1"/>
          <w:kern w:val="0"/>
          <w:szCs w:val="21"/>
        </w:rPr>
        <w:t>1</w:t>
      </w:r>
      <w:r>
        <w:rPr>
          <w:rFonts w:hint="eastAsia" w:ascii="宋体" w:hAnsi="宋体" w:cs="宋体"/>
          <w:kern w:val="0"/>
          <w:szCs w:val="21"/>
        </w:rPr>
        <w:t>.3投标报价有算术</w:t>
      </w:r>
      <w:r>
        <w:rPr>
          <w:rFonts w:hint="eastAsia" w:ascii="宋体" w:hAnsi="宋体" w:cs="宋体"/>
          <w:spacing w:val="1"/>
          <w:kern w:val="0"/>
          <w:szCs w:val="21"/>
        </w:rPr>
        <w:t>错</w:t>
      </w:r>
      <w:r>
        <w:rPr>
          <w:rFonts w:hint="eastAsia" w:ascii="宋体" w:hAnsi="宋体" w:cs="宋体"/>
          <w:kern w:val="0"/>
          <w:szCs w:val="21"/>
        </w:rPr>
        <w:t>误的，评</w:t>
      </w:r>
      <w:r>
        <w:rPr>
          <w:rFonts w:hint="eastAsia" w:ascii="宋体" w:hAnsi="宋体" w:cs="宋体"/>
          <w:spacing w:val="1"/>
          <w:kern w:val="0"/>
          <w:szCs w:val="21"/>
        </w:rPr>
        <w:t>标</w:t>
      </w:r>
      <w:r>
        <w:rPr>
          <w:rFonts w:hint="eastAsia" w:ascii="宋体" w:hAnsi="宋体" w:cs="宋体"/>
          <w:kern w:val="0"/>
          <w:szCs w:val="21"/>
        </w:rPr>
        <w:t>委员会按</w:t>
      </w:r>
      <w:r>
        <w:rPr>
          <w:rFonts w:hint="eastAsia" w:ascii="宋体" w:hAnsi="宋体" w:cs="宋体"/>
          <w:spacing w:val="1"/>
          <w:kern w:val="0"/>
          <w:szCs w:val="21"/>
        </w:rPr>
        <w:t>以</w:t>
      </w:r>
      <w:r>
        <w:rPr>
          <w:rFonts w:hint="eastAsia" w:ascii="宋体" w:hAnsi="宋体" w:cs="宋体"/>
          <w:kern w:val="0"/>
          <w:szCs w:val="21"/>
        </w:rPr>
        <w:t>下原则对</w:t>
      </w:r>
      <w:r>
        <w:rPr>
          <w:rFonts w:hint="eastAsia" w:ascii="宋体" w:hAnsi="宋体" w:cs="宋体"/>
          <w:spacing w:val="1"/>
          <w:kern w:val="0"/>
          <w:szCs w:val="21"/>
        </w:rPr>
        <w:t>投</w:t>
      </w:r>
      <w:r>
        <w:rPr>
          <w:rFonts w:hint="eastAsia" w:ascii="宋体" w:hAnsi="宋体" w:cs="宋体"/>
          <w:kern w:val="0"/>
          <w:szCs w:val="21"/>
        </w:rPr>
        <w:t>标报价进</w:t>
      </w:r>
      <w:r>
        <w:rPr>
          <w:rFonts w:hint="eastAsia" w:ascii="宋体" w:hAnsi="宋体" w:cs="宋体"/>
          <w:spacing w:val="1"/>
          <w:kern w:val="0"/>
          <w:szCs w:val="21"/>
        </w:rPr>
        <w:t>行</w:t>
      </w:r>
      <w:r>
        <w:rPr>
          <w:rFonts w:hint="eastAsia" w:ascii="宋体" w:hAnsi="宋体" w:cs="宋体"/>
          <w:kern w:val="0"/>
          <w:szCs w:val="21"/>
        </w:rPr>
        <w:t>修正，修</w:t>
      </w:r>
      <w:r>
        <w:rPr>
          <w:rFonts w:hint="eastAsia" w:ascii="宋体" w:hAnsi="宋体" w:cs="宋体"/>
          <w:spacing w:val="1"/>
          <w:kern w:val="0"/>
          <w:szCs w:val="21"/>
        </w:rPr>
        <w:t>正的</w:t>
      </w:r>
      <w:r>
        <w:rPr>
          <w:rFonts w:hint="eastAsia" w:ascii="宋体" w:hAnsi="宋体" w:cs="宋体"/>
          <w:kern w:val="0"/>
          <w:szCs w:val="21"/>
        </w:rPr>
        <w:t>价格经投标人书面确认后具有约束力。投标人不接受修正价格的，其投标作废标处理。</w:t>
      </w:r>
    </w:p>
    <w:p>
      <w:pPr>
        <w:autoSpaceDE w:val="0"/>
        <w:autoSpaceDN w:val="0"/>
        <w:adjustRightInd w:val="0"/>
        <w:snapToGrid w:val="0"/>
        <w:spacing w:line="360" w:lineRule="auto"/>
        <w:ind w:left="424" w:leftChars="202"/>
        <w:jc w:val="left"/>
        <w:rPr>
          <w:rFonts w:ascii="宋体" w:hAnsi="宋体" w:cs="宋体"/>
          <w:kern w:val="0"/>
          <w:szCs w:val="21"/>
        </w:rPr>
      </w:pPr>
      <w:r>
        <w:rPr>
          <w:rFonts w:hint="eastAsia" w:ascii="宋体" w:hAnsi="宋体" w:cs="宋体"/>
          <w:kern w:val="0"/>
          <w:szCs w:val="21"/>
        </w:rPr>
        <w:t>（</w:t>
      </w:r>
      <w:r>
        <w:rPr>
          <w:rFonts w:hint="eastAsia" w:ascii="宋体" w:hAnsi="宋体" w:cs="宋体"/>
          <w:spacing w:val="1"/>
          <w:kern w:val="0"/>
          <w:szCs w:val="21"/>
        </w:rPr>
        <w:t>1</w:t>
      </w:r>
      <w:r>
        <w:rPr>
          <w:rFonts w:hint="eastAsia" w:ascii="宋体" w:hAnsi="宋体" w:cs="宋体"/>
          <w:kern w:val="0"/>
          <w:szCs w:val="21"/>
        </w:rPr>
        <w:t>）投标</w:t>
      </w:r>
      <w:r>
        <w:rPr>
          <w:rFonts w:hint="eastAsia" w:ascii="宋体" w:hAnsi="宋体" w:cs="宋体"/>
          <w:spacing w:val="-1"/>
          <w:kern w:val="0"/>
          <w:szCs w:val="21"/>
        </w:rPr>
        <w:t>文</w:t>
      </w:r>
      <w:r>
        <w:rPr>
          <w:rFonts w:hint="eastAsia" w:ascii="宋体" w:hAnsi="宋体" w:cs="宋体"/>
          <w:kern w:val="0"/>
          <w:szCs w:val="21"/>
        </w:rPr>
        <w:t>件中的大写金额与小写金额不一致的，以大写金额为准；</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（2）总价金额与依据单价计算出的结果不一致的，以单价金额为准修正总价，但单价金额有明显错误的除外。</w:t>
      </w:r>
    </w:p>
    <w:p>
      <w:pPr>
        <w:pStyle w:val="4"/>
        <w:spacing w:before="0" w:after="0"/>
        <w:rPr>
          <w:rFonts w:ascii="宋体" w:hAnsi="宋体" w:cs="宋体"/>
        </w:rPr>
      </w:pPr>
      <w:bookmarkStart w:id="324" w:name="_Toc224103379"/>
      <w:bookmarkStart w:id="325" w:name="_Toc200513193"/>
      <w:bookmarkStart w:id="326" w:name="_Toc287620746"/>
      <w:bookmarkStart w:id="327" w:name="_Toc287607807"/>
      <w:bookmarkStart w:id="328" w:name="_Toc277082614"/>
      <w:r>
        <w:rPr>
          <w:rFonts w:hint="eastAsia" w:ascii="宋体" w:hAnsi="宋体" w:cs="宋体"/>
        </w:rPr>
        <w:t>3.2  详细评审</w:t>
      </w:r>
      <w:bookmarkEnd w:id="324"/>
      <w:bookmarkEnd w:id="325"/>
      <w:bookmarkEnd w:id="326"/>
      <w:bookmarkEnd w:id="327"/>
      <w:bookmarkEnd w:id="328"/>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3.2.1评标委员会按本章第 2.2 款规定的量化因素和标准进行评审。</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3.2.2评标委员会发现投标人的报价明显低于其他投标报价，或者在设有标底时明显低于标底，使得其投标报价可能低于其个别成本的，应当要求该投标人做出书面说明并提供相应的证明材料。投标人不能合理说明或者不能提供相应证明材料的，由评标委员会认定该投标人以低于成本报价竞标，其投标作废标处理。</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3.2.3 招标人在对投标人技术部分进行评审发现有违背技术部分要求或评审委员会认为投标人的技术方案不具备可行进将对投标文件作废标处理。</w:t>
      </w:r>
    </w:p>
    <w:p>
      <w:pPr>
        <w:pStyle w:val="4"/>
        <w:spacing w:before="0" w:after="0"/>
        <w:rPr>
          <w:rFonts w:ascii="宋体" w:hAnsi="宋体" w:cs="宋体"/>
        </w:rPr>
      </w:pPr>
      <w:bookmarkStart w:id="329" w:name="_Toc224103380"/>
      <w:bookmarkStart w:id="330" w:name="_Toc200513194"/>
      <w:bookmarkStart w:id="331" w:name="_Toc287620747"/>
      <w:bookmarkStart w:id="332" w:name="_Toc287607808"/>
      <w:bookmarkStart w:id="333" w:name="_Toc277082615"/>
      <w:r>
        <w:rPr>
          <w:rFonts w:hint="eastAsia" w:ascii="宋体" w:hAnsi="宋体" w:cs="宋体"/>
        </w:rPr>
        <w:t>3.3  投标文件的澄清和补正</w:t>
      </w:r>
      <w:bookmarkEnd w:id="329"/>
      <w:bookmarkEnd w:id="330"/>
      <w:bookmarkEnd w:id="331"/>
      <w:bookmarkEnd w:id="332"/>
      <w:bookmarkEnd w:id="333"/>
    </w:p>
    <w:p>
      <w:pPr>
        <w:autoSpaceDE w:val="0"/>
        <w:autoSpaceDN w:val="0"/>
        <w:adjustRightInd w:val="0"/>
        <w:snapToGrid w:val="0"/>
        <w:spacing w:line="360" w:lineRule="auto"/>
        <w:ind w:firstLine="420"/>
        <w:rPr>
          <w:rFonts w:ascii="宋体" w:hAnsi="宋体" w:cs="宋体"/>
          <w:kern w:val="0"/>
          <w:szCs w:val="21"/>
        </w:rPr>
      </w:pPr>
      <w:r>
        <w:rPr>
          <w:rFonts w:hint="eastAsia" w:ascii="宋体" w:hAnsi="宋体" w:cs="宋体"/>
          <w:kern w:val="0"/>
          <w:szCs w:val="21"/>
        </w:rPr>
        <w:t>3.</w:t>
      </w:r>
      <w:r>
        <w:rPr>
          <w:rFonts w:hint="eastAsia" w:ascii="宋体" w:hAnsi="宋体" w:cs="宋体"/>
          <w:spacing w:val="-1"/>
          <w:kern w:val="0"/>
          <w:szCs w:val="21"/>
        </w:rPr>
        <w:t>3</w:t>
      </w:r>
      <w:r>
        <w:rPr>
          <w:rFonts w:hint="eastAsia" w:ascii="宋体" w:hAnsi="宋体" w:cs="宋体"/>
          <w:kern w:val="0"/>
          <w:szCs w:val="21"/>
        </w:rPr>
        <w:t>.1在评标过程中，</w:t>
      </w:r>
      <w:r>
        <w:rPr>
          <w:rFonts w:hint="eastAsia" w:ascii="宋体" w:hAnsi="宋体" w:cs="宋体"/>
          <w:spacing w:val="1"/>
          <w:kern w:val="0"/>
          <w:szCs w:val="21"/>
        </w:rPr>
        <w:t>评</w:t>
      </w:r>
      <w:r>
        <w:rPr>
          <w:rFonts w:hint="eastAsia" w:ascii="宋体" w:hAnsi="宋体" w:cs="宋体"/>
          <w:kern w:val="0"/>
          <w:szCs w:val="21"/>
        </w:rPr>
        <w:t>标委员会</w:t>
      </w:r>
      <w:r>
        <w:rPr>
          <w:rFonts w:hint="eastAsia" w:ascii="宋体" w:hAnsi="宋体" w:cs="宋体"/>
          <w:spacing w:val="1"/>
          <w:kern w:val="0"/>
          <w:szCs w:val="21"/>
        </w:rPr>
        <w:t>可</w:t>
      </w:r>
      <w:r>
        <w:rPr>
          <w:rFonts w:hint="eastAsia" w:ascii="宋体" w:hAnsi="宋体" w:cs="宋体"/>
          <w:kern w:val="0"/>
          <w:szCs w:val="21"/>
        </w:rPr>
        <w:t>以书面形</w:t>
      </w:r>
      <w:r>
        <w:rPr>
          <w:rFonts w:hint="eastAsia" w:ascii="宋体" w:hAnsi="宋体" w:cs="宋体"/>
          <w:spacing w:val="1"/>
          <w:kern w:val="0"/>
          <w:szCs w:val="21"/>
        </w:rPr>
        <w:t>式</w:t>
      </w:r>
      <w:r>
        <w:rPr>
          <w:rFonts w:hint="eastAsia" w:ascii="宋体" w:hAnsi="宋体" w:cs="宋体"/>
          <w:kern w:val="0"/>
          <w:szCs w:val="21"/>
        </w:rPr>
        <w:t>要求投标</w:t>
      </w:r>
      <w:r>
        <w:rPr>
          <w:rFonts w:hint="eastAsia" w:ascii="宋体" w:hAnsi="宋体" w:cs="宋体"/>
          <w:spacing w:val="1"/>
          <w:kern w:val="0"/>
          <w:szCs w:val="21"/>
        </w:rPr>
        <w:t>人</w:t>
      </w:r>
      <w:r>
        <w:rPr>
          <w:rFonts w:hint="eastAsia" w:ascii="宋体" w:hAnsi="宋体" w:cs="宋体"/>
          <w:kern w:val="0"/>
          <w:szCs w:val="21"/>
        </w:rPr>
        <w:t>对所提交</w:t>
      </w:r>
      <w:r>
        <w:rPr>
          <w:rFonts w:hint="eastAsia" w:ascii="宋体" w:hAnsi="宋体" w:cs="宋体"/>
          <w:spacing w:val="1"/>
          <w:kern w:val="0"/>
          <w:szCs w:val="21"/>
        </w:rPr>
        <w:t>的</w:t>
      </w:r>
      <w:r>
        <w:rPr>
          <w:rFonts w:hint="eastAsia" w:ascii="宋体" w:hAnsi="宋体" w:cs="宋体"/>
          <w:kern w:val="0"/>
          <w:szCs w:val="21"/>
        </w:rPr>
        <w:t>投标文件</w:t>
      </w:r>
      <w:r>
        <w:rPr>
          <w:rFonts w:hint="eastAsia" w:ascii="宋体" w:hAnsi="宋体" w:cs="宋体"/>
          <w:spacing w:val="1"/>
          <w:kern w:val="0"/>
          <w:szCs w:val="21"/>
        </w:rPr>
        <w:t>中不</w:t>
      </w:r>
      <w:r>
        <w:rPr>
          <w:rFonts w:hint="eastAsia" w:ascii="宋体" w:hAnsi="宋体" w:cs="宋体"/>
          <w:kern w:val="0"/>
          <w:szCs w:val="21"/>
        </w:rPr>
        <w:t>明确的内容进行书面澄清或说明</w:t>
      </w:r>
      <w:r>
        <w:rPr>
          <w:rFonts w:hint="eastAsia" w:ascii="宋体" w:hAnsi="宋体" w:cs="宋体"/>
          <w:spacing w:val="-47"/>
          <w:kern w:val="0"/>
          <w:szCs w:val="21"/>
        </w:rPr>
        <w:t>，</w:t>
      </w:r>
      <w:r>
        <w:rPr>
          <w:rFonts w:hint="eastAsia" w:ascii="宋体" w:hAnsi="宋体" w:cs="宋体"/>
          <w:kern w:val="0"/>
          <w:szCs w:val="21"/>
        </w:rPr>
        <w:t>或者对细微偏差进行补正</w:t>
      </w:r>
      <w:r>
        <w:rPr>
          <w:rFonts w:hint="eastAsia" w:ascii="宋体" w:hAnsi="宋体" w:cs="宋体"/>
          <w:spacing w:val="-47"/>
          <w:kern w:val="0"/>
          <w:szCs w:val="21"/>
        </w:rPr>
        <w:t>。</w:t>
      </w:r>
      <w:r>
        <w:rPr>
          <w:rFonts w:hint="eastAsia" w:ascii="宋体" w:hAnsi="宋体" w:cs="宋体"/>
          <w:kern w:val="0"/>
          <w:szCs w:val="21"/>
        </w:rPr>
        <w:t>评标委员会不接受投标人主动提出的澄清、说明或补正。</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spacing w:val="1"/>
          <w:kern w:val="0"/>
          <w:szCs w:val="21"/>
        </w:rPr>
        <w:t>3</w:t>
      </w:r>
      <w:r>
        <w:rPr>
          <w:rFonts w:hint="eastAsia" w:ascii="宋体" w:hAnsi="宋体" w:cs="宋体"/>
          <w:kern w:val="0"/>
          <w:szCs w:val="21"/>
        </w:rPr>
        <w:t>.3.2澄清</w:t>
      </w:r>
      <w:r>
        <w:rPr>
          <w:rFonts w:hint="eastAsia" w:ascii="宋体" w:hAnsi="宋体" w:cs="宋体"/>
          <w:spacing w:val="-32"/>
          <w:kern w:val="0"/>
          <w:szCs w:val="21"/>
        </w:rPr>
        <w:t>、</w:t>
      </w:r>
      <w:r>
        <w:rPr>
          <w:rFonts w:hint="eastAsia" w:ascii="宋体" w:hAnsi="宋体" w:cs="宋体"/>
          <w:kern w:val="0"/>
          <w:szCs w:val="21"/>
        </w:rPr>
        <w:t>说明和补正不得改变投标文件的实质性内</w:t>
      </w:r>
      <w:r>
        <w:rPr>
          <w:rFonts w:hint="eastAsia" w:ascii="宋体" w:hAnsi="宋体" w:cs="宋体"/>
          <w:spacing w:val="-31"/>
          <w:kern w:val="0"/>
          <w:szCs w:val="21"/>
        </w:rPr>
        <w:t>容</w:t>
      </w:r>
      <w:r>
        <w:rPr>
          <w:rFonts w:hint="eastAsia" w:ascii="宋体" w:hAnsi="宋体" w:cs="宋体"/>
          <w:kern w:val="0"/>
          <w:szCs w:val="21"/>
        </w:rPr>
        <w:t>（算术性错误修正的除外</w:t>
      </w:r>
      <w:r>
        <w:rPr>
          <w:rFonts w:hint="eastAsia" w:ascii="宋体" w:hAnsi="宋体" w:cs="宋体"/>
          <w:spacing w:val="-106"/>
          <w:kern w:val="0"/>
          <w:szCs w:val="21"/>
        </w:rPr>
        <w:t>）</w:t>
      </w:r>
      <w:r>
        <w:rPr>
          <w:rFonts w:hint="eastAsia" w:ascii="宋体" w:hAnsi="宋体" w:cs="宋体"/>
          <w:spacing w:val="-31"/>
          <w:kern w:val="0"/>
          <w:szCs w:val="21"/>
        </w:rPr>
        <w:t>）。投</w:t>
      </w:r>
      <w:r>
        <w:rPr>
          <w:rFonts w:hint="eastAsia" w:ascii="宋体" w:hAnsi="宋体" w:cs="宋体"/>
          <w:kern w:val="0"/>
          <w:szCs w:val="21"/>
        </w:rPr>
        <w:t>标人的书面澄清、说明和补正属于投标文件的组成部分。</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spacing w:val="1"/>
          <w:kern w:val="0"/>
          <w:szCs w:val="21"/>
        </w:rPr>
        <w:t>3.</w:t>
      </w:r>
      <w:r>
        <w:rPr>
          <w:rFonts w:hint="eastAsia" w:ascii="宋体" w:hAnsi="宋体" w:cs="宋体"/>
          <w:spacing w:val="-1"/>
          <w:kern w:val="0"/>
          <w:szCs w:val="21"/>
        </w:rPr>
        <w:t>3</w:t>
      </w:r>
      <w:r>
        <w:rPr>
          <w:rFonts w:hint="eastAsia" w:ascii="宋体" w:hAnsi="宋体" w:cs="宋体"/>
          <w:kern w:val="0"/>
          <w:szCs w:val="21"/>
        </w:rPr>
        <w:t>.3评标委员会对投</w:t>
      </w:r>
      <w:r>
        <w:rPr>
          <w:rFonts w:hint="eastAsia" w:ascii="宋体" w:hAnsi="宋体" w:cs="宋体"/>
          <w:spacing w:val="1"/>
          <w:kern w:val="0"/>
          <w:szCs w:val="21"/>
        </w:rPr>
        <w:t>标</w:t>
      </w:r>
      <w:r>
        <w:rPr>
          <w:rFonts w:hint="eastAsia" w:ascii="宋体" w:hAnsi="宋体" w:cs="宋体"/>
          <w:kern w:val="0"/>
          <w:szCs w:val="21"/>
        </w:rPr>
        <w:t>人提交的</w:t>
      </w:r>
      <w:r>
        <w:rPr>
          <w:rFonts w:hint="eastAsia" w:ascii="宋体" w:hAnsi="宋体" w:cs="宋体"/>
          <w:spacing w:val="1"/>
          <w:kern w:val="0"/>
          <w:szCs w:val="21"/>
        </w:rPr>
        <w:t>澄</w:t>
      </w:r>
      <w:r>
        <w:rPr>
          <w:rFonts w:hint="eastAsia" w:ascii="宋体" w:hAnsi="宋体" w:cs="宋体"/>
          <w:kern w:val="0"/>
          <w:szCs w:val="21"/>
        </w:rPr>
        <w:t>清、说明</w:t>
      </w:r>
      <w:r>
        <w:rPr>
          <w:rFonts w:hint="eastAsia" w:ascii="宋体" w:hAnsi="宋体" w:cs="宋体"/>
          <w:spacing w:val="1"/>
          <w:kern w:val="0"/>
          <w:szCs w:val="21"/>
        </w:rPr>
        <w:t>或</w:t>
      </w:r>
      <w:r>
        <w:rPr>
          <w:rFonts w:hint="eastAsia" w:ascii="宋体" w:hAnsi="宋体" w:cs="宋体"/>
          <w:kern w:val="0"/>
          <w:szCs w:val="21"/>
        </w:rPr>
        <w:t>补正有疑</w:t>
      </w:r>
      <w:r>
        <w:rPr>
          <w:rFonts w:hint="eastAsia" w:ascii="宋体" w:hAnsi="宋体" w:cs="宋体"/>
          <w:spacing w:val="1"/>
          <w:kern w:val="0"/>
          <w:szCs w:val="21"/>
        </w:rPr>
        <w:t>问</w:t>
      </w:r>
      <w:r>
        <w:rPr>
          <w:rFonts w:hint="eastAsia" w:ascii="宋体" w:hAnsi="宋体" w:cs="宋体"/>
          <w:kern w:val="0"/>
          <w:szCs w:val="21"/>
        </w:rPr>
        <w:t>的，可以</w:t>
      </w:r>
      <w:r>
        <w:rPr>
          <w:rFonts w:hint="eastAsia" w:ascii="宋体" w:hAnsi="宋体" w:cs="宋体"/>
          <w:spacing w:val="1"/>
          <w:kern w:val="0"/>
          <w:szCs w:val="21"/>
        </w:rPr>
        <w:t>要</w:t>
      </w:r>
      <w:r>
        <w:rPr>
          <w:rFonts w:hint="eastAsia" w:ascii="宋体" w:hAnsi="宋体" w:cs="宋体"/>
          <w:kern w:val="0"/>
          <w:szCs w:val="21"/>
        </w:rPr>
        <w:t>求投标人</w:t>
      </w:r>
      <w:r>
        <w:rPr>
          <w:rFonts w:hint="eastAsia" w:ascii="宋体" w:hAnsi="宋体" w:cs="宋体"/>
          <w:spacing w:val="1"/>
          <w:kern w:val="0"/>
          <w:szCs w:val="21"/>
        </w:rPr>
        <w:t>进一</w:t>
      </w:r>
      <w:r>
        <w:rPr>
          <w:rFonts w:hint="eastAsia" w:ascii="宋体" w:hAnsi="宋体" w:cs="宋体"/>
          <w:kern w:val="0"/>
          <w:szCs w:val="21"/>
        </w:rPr>
        <w:t>步澄清、说明或补正，直至满足评标委员会的要求。</w:t>
      </w:r>
    </w:p>
    <w:p>
      <w:pPr>
        <w:pStyle w:val="4"/>
        <w:spacing w:before="0" w:after="0"/>
        <w:rPr>
          <w:rFonts w:ascii="宋体" w:hAnsi="宋体" w:cs="宋体"/>
        </w:rPr>
      </w:pPr>
      <w:bookmarkStart w:id="334" w:name="_Toc287607809"/>
      <w:bookmarkStart w:id="335" w:name="_Toc224103381"/>
      <w:bookmarkStart w:id="336" w:name="_Toc287620748"/>
      <w:bookmarkStart w:id="337" w:name="_Toc277082616"/>
      <w:bookmarkStart w:id="338" w:name="_Toc200513195"/>
      <w:r>
        <w:rPr>
          <w:rFonts w:hint="eastAsia" w:ascii="宋体" w:hAnsi="宋体" w:cs="宋体"/>
        </w:rPr>
        <w:t>3.4  评标结果</w:t>
      </w:r>
      <w:bookmarkEnd w:id="334"/>
      <w:bookmarkEnd w:id="335"/>
      <w:bookmarkEnd w:id="336"/>
      <w:bookmarkEnd w:id="337"/>
      <w:bookmarkEnd w:id="338"/>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3.</w:t>
      </w:r>
      <w:r>
        <w:rPr>
          <w:rFonts w:hint="eastAsia" w:ascii="宋体" w:hAnsi="宋体" w:cs="宋体"/>
          <w:spacing w:val="-1"/>
          <w:kern w:val="0"/>
          <w:szCs w:val="21"/>
        </w:rPr>
        <w:t>4</w:t>
      </w:r>
      <w:r>
        <w:rPr>
          <w:rFonts w:hint="eastAsia" w:ascii="宋体" w:hAnsi="宋体" w:cs="宋体"/>
          <w:kern w:val="0"/>
          <w:szCs w:val="21"/>
        </w:rPr>
        <w:t>.1评标</w:t>
      </w:r>
      <w:r>
        <w:rPr>
          <w:rFonts w:hint="eastAsia" w:ascii="宋体" w:hAnsi="宋体" w:cs="宋体"/>
          <w:spacing w:val="1"/>
          <w:kern w:val="0"/>
          <w:szCs w:val="21"/>
        </w:rPr>
        <w:t>委</w:t>
      </w:r>
      <w:r>
        <w:rPr>
          <w:rFonts w:hint="eastAsia" w:ascii="宋体" w:hAnsi="宋体" w:cs="宋体"/>
          <w:kern w:val="0"/>
          <w:szCs w:val="21"/>
        </w:rPr>
        <w:t>员会按评标办法评审后推荐中标候选人。</w:t>
      </w:r>
    </w:p>
    <w:p>
      <w:pPr>
        <w:spacing w:line="480" w:lineRule="auto"/>
        <w:rPr>
          <w:rFonts w:ascii="宋体" w:hAnsi="宋体" w:cs="宋体"/>
          <w:b/>
          <w:sz w:val="32"/>
          <w:szCs w:val="32"/>
        </w:rPr>
      </w:pPr>
      <w:r>
        <w:rPr>
          <w:rFonts w:hint="eastAsia" w:ascii="宋体" w:hAnsi="宋体" w:cs="宋体"/>
          <w:spacing w:val="1"/>
          <w:kern w:val="0"/>
          <w:szCs w:val="21"/>
        </w:rPr>
        <w:t>3</w:t>
      </w:r>
      <w:r>
        <w:rPr>
          <w:rFonts w:hint="eastAsia" w:ascii="宋体" w:hAnsi="宋体" w:cs="宋体"/>
          <w:kern w:val="0"/>
          <w:szCs w:val="21"/>
        </w:rPr>
        <w:t>.4.2评标</w:t>
      </w:r>
      <w:r>
        <w:rPr>
          <w:rFonts w:hint="eastAsia" w:ascii="宋体" w:hAnsi="宋体" w:cs="宋体"/>
          <w:spacing w:val="-1"/>
          <w:kern w:val="0"/>
          <w:szCs w:val="21"/>
        </w:rPr>
        <w:t>委</w:t>
      </w:r>
      <w:r>
        <w:rPr>
          <w:rFonts w:hint="eastAsia" w:ascii="宋体" w:hAnsi="宋体" w:cs="宋体"/>
          <w:kern w:val="0"/>
          <w:szCs w:val="21"/>
        </w:rPr>
        <w:t>员会完成评标后，应当向招标人提交书面评标报告。</w:t>
      </w:r>
    </w:p>
    <w:p>
      <w:pPr>
        <w:spacing w:line="480" w:lineRule="auto"/>
        <w:rPr>
          <w:rFonts w:ascii="宋体" w:hAnsi="宋体" w:cs="宋体"/>
          <w:b/>
          <w:sz w:val="32"/>
          <w:szCs w:val="32"/>
        </w:rPr>
      </w:pPr>
    </w:p>
    <w:p>
      <w:pPr>
        <w:spacing w:line="480" w:lineRule="auto"/>
        <w:rPr>
          <w:rFonts w:ascii="宋体" w:hAnsi="宋体" w:cs="宋体"/>
          <w:b/>
          <w:sz w:val="32"/>
          <w:szCs w:val="32"/>
        </w:rPr>
        <w:sectPr>
          <w:headerReference r:id="rId19" w:type="default"/>
          <w:footerReference r:id="rId20" w:type="default"/>
          <w:footerReference r:id="rId21" w:type="even"/>
          <w:pgSz w:w="11906" w:h="16838"/>
          <w:pgMar w:top="1418" w:right="1361" w:bottom="1418" w:left="1418" w:header="851" w:footer="992" w:gutter="0"/>
          <w:cols w:space="720" w:num="1"/>
          <w:docGrid w:linePitch="312" w:charSpace="0"/>
        </w:sectPr>
      </w:pPr>
    </w:p>
    <w:p>
      <w:pPr>
        <w:rPr>
          <w:rFonts w:ascii="宋体" w:hAnsi="宋体" w:cs="宋体"/>
          <w:szCs w:val="20"/>
        </w:rPr>
      </w:pPr>
    </w:p>
    <w:p>
      <w:pPr>
        <w:spacing w:line="360" w:lineRule="auto"/>
        <w:jc w:val="center"/>
        <w:rPr>
          <w:rFonts w:ascii="宋体" w:hAnsi="宋体" w:cs="宋体"/>
          <w:b/>
          <w:sz w:val="52"/>
          <w:szCs w:val="72"/>
        </w:rPr>
      </w:pPr>
      <w:r>
        <w:rPr>
          <w:rFonts w:hint="eastAsia" w:ascii="宋体" w:hAnsi="宋体" w:cs="宋体"/>
          <w:b/>
          <w:sz w:val="52"/>
          <w:szCs w:val="72"/>
        </w:rPr>
        <w:t>第四章合同条款格式</w:t>
      </w:r>
    </w:p>
    <w:p>
      <w:pPr>
        <w:jc w:val="center"/>
        <w:rPr>
          <w:rFonts w:ascii="宋体" w:hAnsi="宋体" w:cs="宋体"/>
          <w:b/>
          <w:sz w:val="72"/>
          <w:szCs w:val="52"/>
        </w:rPr>
      </w:pPr>
      <w:bookmarkStart w:id="339" w:name="_Toc296503025"/>
      <w:bookmarkStart w:id="340" w:name="_Toc371493140"/>
      <w:bookmarkStart w:id="341" w:name="_Toc351203480"/>
      <w:bookmarkStart w:id="342" w:name="_Toc296890982"/>
    </w:p>
    <w:p>
      <w:pPr>
        <w:jc w:val="center"/>
        <w:rPr>
          <w:rFonts w:ascii="宋体" w:hAnsi="宋体" w:cs="宋体"/>
          <w:b/>
          <w:sz w:val="72"/>
          <w:szCs w:val="52"/>
        </w:rPr>
      </w:pPr>
    </w:p>
    <w:p>
      <w:pPr>
        <w:jc w:val="center"/>
        <w:rPr>
          <w:rFonts w:ascii="宋体" w:hAnsi="宋体" w:cs="宋体"/>
          <w:b/>
          <w:sz w:val="52"/>
          <w:szCs w:val="72"/>
        </w:rPr>
      </w:pPr>
      <w:r>
        <w:rPr>
          <w:rFonts w:hint="eastAsia" w:ascii="宋体" w:hAnsi="宋体" w:cs="宋体"/>
          <w:b/>
          <w:sz w:val="52"/>
          <w:szCs w:val="72"/>
        </w:rPr>
        <w:t>安博重庆空港物流中心项目II期工程</w:t>
      </w:r>
    </w:p>
    <w:p>
      <w:pPr>
        <w:jc w:val="center"/>
        <w:rPr>
          <w:rFonts w:ascii="宋体" w:hAnsi="宋体" w:cs="宋体"/>
          <w:b/>
          <w:sz w:val="44"/>
          <w:szCs w:val="52"/>
        </w:rPr>
      </w:pPr>
      <w:r>
        <w:rPr>
          <w:rFonts w:hint="eastAsia" w:ascii="宋体" w:hAnsi="宋体" w:cs="宋体"/>
          <w:b/>
          <w:sz w:val="52"/>
          <w:szCs w:val="72"/>
        </w:rPr>
        <w:t>栏杆及楼梯采购</w:t>
      </w:r>
      <w:r>
        <w:rPr>
          <w:rFonts w:hint="eastAsia" w:ascii="宋体" w:hAnsi="宋体" w:cs="宋体"/>
          <w:b/>
          <w:sz w:val="52"/>
          <w:szCs w:val="52"/>
        </w:rPr>
        <w:t>合同</w:t>
      </w:r>
    </w:p>
    <w:p>
      <w:pPr>
        <w:jc w:val="center"/>
        <w:rPr>
          <w:rFonts w:ascii="宋体" w:hAnsi="宋体" w:cs="宋体"/>
          <w:b/>
          <w:sz w:val="32"/>
        </w:rPr>
      </w:pPr>
    </w:p>
    <w:p>
      <w:pPr>
        <w:jc w:val="center"/>
        <w:rPr>
          <w:rFonts w:ascii="宋体" w:hAnsi="宋体" w:cs="宋体"/>
          <w:b/>
          <w:sz w:val="32"/>
        </w:rPr>
      </w:pPr>
    </w:p>
    <w:p>
      <w:pPr>
        <w:rPr>
          <w:rFonts w:ascii="宋体" w:hAnsi="宋体" w:cs="宋体"/>
          <w:sz w:val="32"/>
        </w:rPr>
      </w:pPr>
    </w:p>
    <w:p>
      <w:pPr>
        <w:ind w:firstLine="2080" w:firstLineChars="650"/>
        <w:rPr>
          <w:rFonts w:ascii="宋体" w:hAnsi="宋体" w:cs="宋体"/>
          <w:sz w:val="32"/>
        </w:rPr>
      </w:pPr>
      <w:r>
        <w:rPr>
          <w:rFonts w:hint="eastAsia" w:ascii="宋体" w:hAnsi="宋体" w:cs="宋体"/>
          <w:sz w:val="32"/>
        </w:rPr>
        <w:t>甲方：</w:t>
      </w:r>
      <w:r>
        <w:rPr>
          <w:rFonts w:hint="eastAsia" w:ascii="宋体" w:hAnsi="宋体" w:cs="宋体"/>
          <w:sz w:val="32"/>
          <w:u w:val="single"/>
        </w:rPr>
        <w:t>中机中联工程有限公司</w:t>
      </w:r>
    </w:p>
    <w:p>
      <w:pPr>
        <w:ind w:firstLine="2080" w:firstLineChars="650"/>
        <w:rPr>
          <w:rFonts w:ascii="宋体" w:hAnsi="宋体" w:cs="宋体"/>
          <w:sz w:val="32"/>
          <w:u w:val="single"/>
        </w:rPr>
      </w:pPr>
      <w:r>
        <w:rPr>
          <w:rFonts w:hint="eastAsia" w:ascii="宋体" w:hAnsi="宋体" w:cs="宋体"/>
          <w:sz w:val="32"/>
        </w:rPr>
        <w:t>乙方：</w:t>
      </w:r>
    </w:p>
    <w:p>
      <w:pPr>
        <w:rPr>
          <w:rFonts w:ascii="宋体" w:hAnsi="宋体" w:cs="宋体"/>
          <w:sz w:val="32"/>
        </w:rPr>
      </w:pPr>
    </w:p>
    <w:p>
      <w:pPr>
        <w:rPr>
          <w:rFonts w:ascii="宋体" w:hAnsi="宋体" w:cs="宋体"/>
          <w:sz w:val="32"/>
        </w:rPr>
      </w:pPr>
    </w:p>
    <w:p>
      <w:pPr>
        <w:rPr>
          <w:rFonts w:ascii="宋体" w:hAnsi="宋体" w:cs="宋体"/>
          <w:sz w:val="32"/>
        </w:rPr>
      </w:pPr>
    </w:p>
    <w:p>
      <w:pPr>
        <w:ind w:firstLine="600" w:firstLineChars="200"/>
        <w:rPr>
          <w:rFonts w:ascii="宋体" w:hAnsi="宋体" w:cs="宋体"/>
          <w:sz w:val="30"/>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r>
        <w:rPr>
          <w:rFonts w:hint="eastAsia" w:ascii="宋体" w:hAnsi="宋体" w:cs="宋体"/>
          <w:b/>
          <w:sz w:val="36"/>
        </w:rPr>
        <w:t>二0一九年  月</w:t>
      </w:r>
    </w:p>
    <w:p>
      <w:pPr>
        <w:spacing w:line="360" w:lineRule="auto"/>
        <w:rPr>
          <w:rFonts w:ascii="宋体" w:hAnsi="宋体" w:cs="宋体"/>
          <w:sz w:val="24"/>
          <w:u w:val="single"/>
        </w:rPr>
      </w:pPr>
      <w:r>
        <w:rPr>
          <w:rFonts w:hint="eastAsia" w:ascii="宋体" w:hAnsi="宋体" w:cs="宋体"/>
          <w:sz w:val="30"/>
        </w:rPr>
        <w:br w:type="page"/>
      </w:r>
      <w:bookmarkEnd w:id="339"/>
      <w:bookmarkEnd w:id="340"/>
      <w:bookmarkEnd w:id="341"/>
      <w:bookmarkEnd w:id="342"/>
      <w:r>
        <w:rPr>
          <w:rFonts w:hint="eastAsia" w:ascii="宋体" w:hAnsi="宋体" w:cs="宋体"/>
          <w:sz w:val="24"/>
        </w:rPr>
        <w:t>甲方：</w:t>
      </w:r>
    </w:p>
    <w:p>
      <w:pPr>
        <w:spacing w:line="360" w:lineRule="auto"/>
        <w:rPr>
          <w:rFonts w:ascii="宋体" w:hAnsi="宋体" w:cs="宋体"/>
          <w:b/>
          <w:bCs/>
          <w:sz w:val="24"/>
          <w:u w:val="single"/>
        </w:rPr>
      </w:pPr>
      <w:r>
        <w:rPr>
          <w:rFonts w:hint="eastAsia" w:ascii="宋体" w:hAnsi="宋体" w:cs="宋体"/>
          <w:sz w:val="24"/>
        </w:rPr>
        <w:t>乙方：</w:t>
      </w:r>
    </w:p>
    <w:p>
      <w:pPr>
        <w:pStyle w:val="20"/>
        <w:spacing w:line="360" w:lineRule="auto"/>
        <w:ind w:firstLine="720" w:firstLineChars="300"/>
        <w:rPr>
          <w:rFonts w:ascii="宋体" w:hAnsi="宋体" w:cs="宋体"/>
          <w:sz w:val="24"/>
        </w:rPr>
      </w:pPr>
      <w:r>
        <w:rPr>
          <w:rFonts w:hint="eastAsia" w:ascii="宋体" w:hAnsi="宋体" w:cs="宋体"/>
          <w:color w:val="000000"/>
          <w:sz w:val="24"/>
        </w:rPr>
        <w:t>甲</w:t>
      </w:r>
      <w:r>
        <w:rPr>
          <w:rFonts w:hint="eastAsia" w:ascii="宋体" w:hAnsi="宋体" w:cs="宋体"/>
          <w:sz w:val="24"/>
        </w:rPr>
        <w:t>乙双方根据国家有关法律规定，依照《中华人民共和国合同法》、《中国人民共和国建筑法》及相关法律，就</w:t>
      </w:r>
      <w:r>
        <w:rPr>
          <w:rFonts w:hint="eastAsia" w:ascii="宋体" w:hAnsi="宋体" w:cs="宋体"/>
          <w:sz w:val="24"/>
          <w:u w:val="single"/>
        </w:rPr>
        <w:t>安博重庆空港物流中心项目II期工程-栏杆及楼梯采购招标文件</w:t>
      </w:r>
      <w:r>
        <w:rPr>
          <w:rFonts w:hint="eastAsia" w:ascii="宋体" w:hAnsi="宋体" w:cs="宋体"/>
          <w:sz w:val="24"/>
        </w:rPr>
        <w:t>，遵循平等、自愿、公平诚实守信的原则，协商达成如下协议：</w:t>
      </w:r>
    </w:p>
    <w:p>
      <w:pPr>
        <w:spacing w:line="360" w:lineRule="auto"/>
        <w:rPr>
          <w:rFonts w:ascii="宋体" w:hAnsi="宋体" w:cs="宋体"/>
          <w:b/>
          <w:bCs/>
          <w:sz w:val="28"/>
        </w:rPr>
      </w:pPr>
      <w:r>
        <w:rPr>
          <w:rFonts w:hint="eastAsia" w:ascii="宋体" w:hAnsi="宋体" w:cs="宋体"/>
          <w:b/>
          <w:bCs/>
          <w:sz w:val="28"/>
        </w:rPr>
        <w:t>第一条概况及施工范围</w:t>
      </w:r>
    </w:p>
    <w:p>
      <w:pPr>
        <w:spacing w:line="360" w:lineRule="auto"/>
        <w:rPr>
          <w:rFonts w:ascii="宋体" w:hAnsi="宋体" w:cs="宋体"/>
          <w:sz w:val="24"/>
          <w:u w:val="single"/>
        </w:rPr>
      </w:pPr>
      <w:r>
        <w:rPr>
          <w:rFonts w:hint="eastAsia" w:ascii="宋体" w:hAnsi="宋体" w:cs="宋体"/>
          <w:sz w:val="24"/>
        </w:rPr>
        <w:t>1、工程名称：</w:t>
      </w:r>
      <w:r>
        <w:rPr>
          <w:rFonts w:hint="eastAsia" w:ascii="宋体" w:hAnsi="宋体" w:cs="宋体"/>
          <w:sz w:val="24"/>
          <w:u w:val="single"/>
        </w:rPr>
        <w:t>安博重庆空港物流中心项目II期工程-栏杆及楼梯采购</w:t>
      </w:r>
    </w:p>
    <w:p>
      <w:pPr>
        <w:spacing w:line="360" w:lineRule="auto"/>
        <w:rPr>
          <w:rFonts w:ascii="宋体" w:hAnsi="宋体" w:cs="宋体"/>
          <w:sz w:val="24"/>
          <w:u w:val="single"/>
        </w:rPr>
      </w:pPr>
      <w:r>
        <w:rPr>
          <w:rFonts w:hint="eastAsia" w:ascii="宋体" w:hAnsi="宋体" w:cs="宋体"/>
          <w:sz w:val="24"/>
        </w:rPr>
        <w:t>2、工程地点：</w:t>
      </w:r>
      <w:r>
        <w:rPr>
          <w:rFonts w:hint="eastAsia" w:ascii="宋体" w:hAnsi="宋体" w:cs="宋体"/>
          <w:sz w:val="24"/>
          <w:u w:val="single"/>
        </w:rPr>
        <w:t>重庆市两江新区两路寸滩保税港区空港现代物流园区</w:t>
      </w:r>
    </w:p>
    <w:p>
      <w:pPr>
        <w:spacing w:line="360" w:lineRule="auto"/>
        <w:rPr>
          <w:rFonts w:ascii="宋体" w:hAnsi="宋体" w:cs="宋体"/>
          <w:sz w:val="24"/>
        </w:rPr>
      </w:pPr>
      <w:r>
        <w:rPr>
          <w:rFonts w:hint="eastAsia" w:ascii="宋体" w:hAnsi="宋体" w:cs="宋体"/>
          <w:sz w:val="24"/>
        </w:rPr>
        <w:t>3、施工范围：</w:t>
      </w:r>
      <w:r>
        <w:rPr>
          <w:rFonts w:hint="eastAsia" w:ascii="宋体" w:hAnsi="宋体" w:cs="宋体"/>
          <w:sz w:val="24"/>
          <w:u w:val="single"/>
        </w:rPr>
        <w:t>本项目施工图中所有栏杆、楼梯及围栏的采购及安装</w:t>
      </w:r>
      <w:r>
        <w:rPr>
          <w:rFonts w:hint="eastAsia" w:ascii="宋体" w:hAnsi="宋体" w:cs="宋体"/>
          <w:sz w:val="24"/>
        </w:rPr>
        <w:t>。</w:t>
      </w:r>
    </w:p>
    <w:p>
      <w:pPr>
        <w:numPr>
          <w:ilvl w:val="0"/>
          <w:numId w:val="2"/>
        </w:numPr>
        <w:tabs>
          <w:tab w:val="left" w:pos="1155"/>
          <w:tab w:val="clear" w:pos="1200"/>
        </w:tabs>
        <w:spacing w:line="360" w:lineRule="auto"/>
        <w:rPr>
          <w:rFonts w:ascii="宋体" w:hAnsi="宋体" w:cs="宋体"/>
          <w:b/>
          <w:bCs/>
          <w:sz w:val="28"/>
        </w:rPr>
      </w:pPr>
      <w:r>
        <w:rPr>
          <w:rFonts w:hint="eastAsia" w:ascii="宋体" w:hAnsi="宋体" w:cs="宋体"/>
          <w:b/>
          <w:sz w:val="28"/>
          <w:szCs w:val="28"/>
        </w:rPr>
        <w:t>订购清单</w:t>
      </w:r>
    </w:p>
    <w:p>
      <w:pPr>
        <w:tabs>
          <w:tab w:val="left" w:pos="1155"/>
        </w:tabs>
        <w:spacing w:line="360" w:lineRule="auto"/>
        <w:ind w:left="1200"/>
        <w:rPr>
          <w:rFonts w:ascii="宋体" w:hAnsi="宋体" w:cs="宋体"/>
          <w:b/>
          <w:sz w:val="28"/>
          <w:szCs w:val="28"/>
        </w:rPr>
      </w:pPr>
      <w:r>
        <w:rPr>
          <w:rFonts w:hint="eastAsia" w:ascii="宋体" w:hAnsi="宋体" w:cs="宋体"/>
          <w:b/>
          <w:sz w:val="28"/>
          <w:szCs w:val="28"/>
        </w:rPr>
        <w:t xml:space="preserve">           栏杆、楼梯、围栏订购清单详附件</w:t>
      </w:r>
    </w:p>
    <w:p>
      <w:pPr>
        <w:tabs>
          <w:tab w:val="left" w:pos="1155"/>
        </w:tabs>
        <w:spacing w:line="360" w:lineRule="auto"/>
        <w:ind w:left="1200"/>
        <w:rPr>
          <w:rFonts w:ascii="宋体" w:hAnsi="宋体" w:cs="宋体"/>
          <w:b/>
          <w:sz w:val="28"/>
          <w:szCs w:val="28"/>
        </w:rPr>
      </w:pPr>
    </w:p>
    <w:p>
      <w:pPr>
        <w:spacing w:line="360" w:lineRule="auto"/>
        <w:rPr>
          <w:rFonts w:ascii="宋体" w:hAnsi="宋体" w:cs="宋体"/>
          <w:b/>
          <w:sz w:val="24"/>
        </w:rPr>
      </w:pPr>
      <w:r>
        <w:rPr>
          <w:rFonts w:hint="eastAsia" w:ascii="宋体" w:hAnsi="宋体" w:cs="宋体"/>
          <w:b/>
          <w:sz w:val="24"/>
        </w:rPr>
        <w:t>说明：</w:t>
      </w:r>
    </w:p>
    <w:p>
      <w:pPr>
        <w:pStyle w:val="239"/>
        <w:numPr>
          <w:ilvl w:val="0"/>
          <w:numId w:val="3"/>
        </w:numPr>
        <w:spacing w:line="360" w:lineRule="auto"/>
        <w:ind w:firstLineChars="0"/>
        <w:rPr>
          <w:rFonts w:ascii="宋体" w:hAnsi="宋体" w:cs="宋体"/>
          <w:sz w:val="24"/>
        </w:rPr>
      </w:pPr>
      <w:r>
        <w:rPr>
          <w:rFonts w:hint="eastAsia" w:ascii="宋体" w:hAnsi="宋体" w:cs="宋体"/>
          <w:sz w:val="24"/>
        </w:rPr>
        <w:t>本合同价格形式为综合单价包干。</w:t>
      </w:r>
    </w:p>
    <w:p>
      <w:pPr>
        <w:wordWrap w:val="0"/>
        <w:adjustRightInd w:val="0"/>
        <w:snapToGrid w:val="0"/>
        <w:spacing w:line="400" w:lineRule="exact"/>
        <w:rPr>
          <w:rFonts w:ascii="宋体" w:hAnsi="宋体" w:cs="宋体"/>
          <w:bCs/>
          <w:sz w:val="24"/>
        </w:rPr>
      </w:pPr>
      <w:r>
        <w:rPr>
          <w:rFonts w:hint="eastAsia" w:ascii="宋体" w:hAnsi="宋体" w:cs="宋体"/>
          <w:bCs/>
          <w:sz w:val="24"/>
        </w:rPr>
        <w:t>2、综合单价包括但不限于本工程施工过程所需的人工费、材料费（包括材料场内外运输费、采保费、装车费、卸车费及损耗费等）、机械费（包括机械进退场及安拆费等）、工程验收所须的各种检测费、试验费及相关手续费、合同工期内的赶工费、施工水电费（包括夜间施工照明费用及分摊总线路损耗、包含发包人提供施工用电负荷不够，自行准备柴油发电机发电满足施工需要产生的费用）、技术措施费(包括冬雨季及异常气候施工措施费、本项目场地条件引起增加的措施费)、安装费、安全文明施工措施费、临时设施费、垃圾清运到发包人指定点堆放费用、管理费、利润、税金、施工风险费、施工期间内材料价格变化风险费、政府政策性调价风险费、其它风险费、保险费、和其它标段的配合费及本合同虽未提及但承包人在完成本工程至验收合格过程中必须支付的与本工程相关的其他费用。</w:t>
      </w:r>
    </w:p>
    <w:p>
      <w:pPr>
        <w:wordWrap w:val="0"/>
        <w:adjustRightInd w:val="0"/>
        <w:snapToGrid w:val="0"/>
        <w:spacing w:line="400" w:lineRule="exact"/>
        <w:ind w:firstLine="480" w:firstLineChars="200"/>
        <w:rPr>
          <w:rFonts w:ascii="宋体" w:hAnsi="宋体" w:cs="宋体"/>
          <w:bCs/>
          <w:sz w:val="24"/>
        </w:rPr>
      </w:pPr>
      <w:r>
        <w:rPr>
          <w:rFonts w:hint="eastAsia" w:ascii="宋体" w:hAnsi="宋体" w:cs="宋体"/>
          <w:bCs/>
          <w:sz w:val="24"/>
        </w:rPr>
        <w:t>3. 固定总价包干部分包括图纸、设计说明、清单、现行标准、合同条件、验收规范等所有内容，当以上内容出现不一致时，以高标准为准；投标单位应对招标清单及工程量内容进行复核，并在招标人规定的时间内进行核对，合同签订后若出现清单及工程量偏差均已包含在固定总价及综合单价以内。</w:t>
      </w:r>
    </w:p>
    <w:p>
      <w:pPr>
        <w:wordWrap w:val="0"/>
        <w:adjustRightInd w:val="0"/>
        <w:snapToGrid w:val="0"/>
        <w:spacing w:line="400" w:lineRule="exact"/>
        <w:ind w:firstLine="480" w:firstLineChars="200"/>
        <w:rPr>
          <w:rFonts w:ascii="宋体" w:hAnsi="宋体" w:cs="宋体"/>
          <w:bCs/>
          <w:sz w:val="24"/>
        </w:rPr>
      </w:pPr>
      <w:r>
        <w:rPr>
          <w:rFonts w:hint="eastAsia" w:ascii="宋体" w:hAnsi="宋体" w:cs="宋体"/>
          <w:bCs/>
          <w:sz w:val="24"/>
        </w:rPr>
        <w:t>4. 安全文明施工专项费金额包干使用，按渝建发〔2014〕25号文的规定之标准实施并专项使用本费用金额，结算时不再调整。</w:t>
      </w:r>
    </w:p>
    <w:p>
      <w:pPr>
        <w:pStyle w:val="239"/>
        <w:spacing w:line="360" w:lineRule="auto"/>
        <w:ind w:left="359" w:leftChars="171" w:firstLine="120" w:firstLineChars="50"/>
        <w:rPr>
          <w:rFonts w:ascii="宋体" w:hAnsi="宋体" w:cs="宋体"/>
          <w:sz w:val="24"/>
        </w:rPr>
      </w:pPr>
      <w:r>
        <w:rPr>
          <w:rFonts w:hint="eastAsia" w:ascii="宋体" w:hAnsi="宋体" w:cs="宋体"/>
          <w:bCs/>
          <w:sz w:val="24"/>
        </w:rPr>
        <w:t>5. 结算价=固定总价+变更费用。</w:t>
      </w:r>
    </w:p>
    <w:p>
      <w:pPr>
        <w:numPr>
          <w:ilvl w:val="0"/>
          <w:numId w:val="2"/>
        </w:numPr>
        <w:tabs>
          <w:tab w:val="left" w:pos="1155"/>
          <w:tab w:val="clear" w:pos="1200"/>
        </w:tabs>
        <w:spacing w:line="360" w:lineRule="auto"/>
        <w:rPr>
          <w:rFonts w:ascii="宋体" w:hAnsi="宋体" w:cs="宋体"/>
          <w:b/>
          <w:bCs/>
          <w:sz w:val="28"/>
        </w:rPr>
      </w:pPr>
      <w:r>
        <w:rPr>
          <w:rFonts w:hint="eastAsia" w:ascii="宋体" w:hAnsi="宋体" w:cs="宋体"/>
          <w:b/>
          <w:bCs/>
          <w:sz w:val="28"/>
        </w:rPr>
        <w:t>双方责任</w:t>
      </w:r>
    </w:p>
    <w:p>
      <w:pPr>
        <w:spacing w:line="360" w:lineRule="auto"/>
        <w:rPr>
          <w:rFonts w:ascii="宋体" w:hAnsi="宋体" w:cs="宋体"/>
          <w:sz w:val="24"/>
        </w:rPr>
      </w:pPr>
      <w:r>
        <w:rPr>
          <w:rFonts w:hint="eastAsia" w:ascii="宋体" w:hAnsi="宋体" w:cs="宋体"/>
          <w:sz w:val="24"/>
        </w:rPr>
        <w:t>（一）甲方责任</w:t>
      </w:r>
    </w:p>
    <w:p>
      <w:pPr>
        <w:spacing w:line="360" w:lineRule="auto"/>
        <w:ind w:left="360" w:hanging="360" w:hangingChars="150"/>
        <w:rPr>
          <w:rFonts w:ascii="宋体" w:hAnsi="宋体" w:cs="宋体"/>
          <w:sz w:val="24"/>
        </w:rPr>
      </w:pPr>
      <w:r>
        <w:rPr>
          <w:rFonts w:hint="eastAsia" w:ascii="宋体" w:hAnsi="宋体" w:cs="宋体"/>
          <w:sz w:val="24"/>
        </w:rPr>
        <w:t>1、合同生效后，在乙方进场施工前应在施工现场清除地面、架空和地下障碍等工作，使施工场地具备施工条件，并在开工后继续负责解决以上事项遗留问题；</w:t>
      </w:r>
    </w:p>
    <w:p>
      <w:pPr>
        <w:spacing w:line="360" w:lineRule="auto"/>
        <w:ind w:left="360" w:hanging="360" w:hangingChars="150"/>
        <w:rPr>
          <w:rFonts w:ascii="宋体" w:hAnsi="宋体" w:cs="宋体"/>
          <w:sz w:val="24"/>
        </w:rPr>
      </w:pPr>
      <w:r>
        <w:rPr>
          <w:rFonts w:hint="eastAsia" w:ascii="宋体" w:hAnsi="宋体" w:cs="宋体"/>
          <w:sz w:val="24"/>
        </w:rPr>
        <w:t>2、负责解决与其它工序、工种的施工协调；</w:t>
      </w:r>
    </w:p>
    <w:p>
      <w:pPr>
        <w:spacing w:line="360" w:lineRule="auto"/>
        <w:ind w:left="360" w:hanging="360" w:hangingChars="150"/>
        <w:rPr>
          <w:rFonts w:ascii="宋体" w:hAnsi="宋体" w:cs="宋体"/>
          <w:sz w:val="24"/>
        </w:rPr>
      </w:pPr>
      <w:r>
        <w:rPr>
          <w:rFonts w:hint="eastAsia" w:ascii="宋体" w:hAnsi="宋体" w:cs="宋体"/>
          <w:sz w:val="24"/>
        </w:rPr>
        <w:t>3、提供总控进度计划；</w:t>
      </w:r>
    </w:p>
    <w:p>
      <w:pPr>
        <w:spacing w:line="360" w:lineRule="auto"/>
        <w:ind w:left="360" w:hanging="360" w:hangingChars="150"/>
        <w:rPr>
          <w:rFonts w:ascii="宋体" w:hAnsi="宋体" w:cs="宋体"/>
          <w:sz w:val="24"/>
        </w:rPr>
      </w:pPr>
      <w:r>
        <w:rPr>
          <w:rFonts w:hint="eastAsia" w:ascii="宋体" w:hAnsi="宋体" w:cs="宋体"/>
          <w:sz w:val="24"/>
        </w:rPr>
        <w:t>4、审核乙方设计方案、施工方案。</w:t>
      </w:r>
    </w:p>
    <w:p>
      <w:pPr>
        <w:numPr>
          <w:ilvl w:val="0"/>
          <w:numId w:val="4"/>
        </w:numPr>
        <w:tabs>
          <w:tab w:val="left" w:pos="840"/>
          <w:tab w:val="clear" w:pos="1200"/>
        </w:tabs>
        <w:spacing w:line="360" w:lineRule="auto"/>
        <w:rPr>
          <w:rFonts w:ascii="宋体" w:hAnsi="宋体" w:cs="宋体"/>
          <w:sz w:val="24"/>
        </w:rPr>
      </w:pPr>
      <w:r>
        <w:rPr>
          <w:rFonts w:hint="eastAsia" w:ascii="宋体" w:hAnsi="宋体" w:cs="宋体"/>
          <w:sz w:val="24"/>
        </w:rPr>
        <w:t>乙方责任</w:t>
      </w:r>
    </w:p>
    <w:p>
      <w:pPr>
        <w:spacing w:line="360" w:lineRule="auto"/>
        <w:ind w:left="360" w:hanging="360" w:hangingChars="150"/>
        <w:rPr>
          <w:rFonts w:ascii="宋体" w:hAnsi="宋体" w:cs="宋体"/>
          <w:sz w:val="24"/>
        </w:rPr>
      </w:pPr>
      <w:r>
        <w:rPr>
          <w:rFonts w:hint="eastAsia" w:ascii="宋体" w:hAnsi="宋体" w:cs="宋体"/>
          <w:sz w:val="24"/>
        </w:rPr>
        <w:t>1、服从甲方、监理及业主的现场管理，并按国家有关规定向甲方和监理提交工程完整的竣工资料；</w:t>
      </w:r>
    </w:p>
    <w:p>
      <w:pPr>
        <w:spacing w:line="360" w:lineRule="auto"/>
        <w:ind w:left="360" w:hanging="360" w:hangingChars="150"/>
        <w:rPr>
          <w:rFonts w:ascii="宋体" w:hAnsi="宋体" w:cs="宋体"/>
          <w:sz w:val="24"/>
        </w:rPr>
      </w:pPr>
      <w:r>
        <w:rPr>
          <w:rFonts w:hint="eastAsia" w:ascii="宋体" w:hAnsi="宋体" w:cs="宋体"/>
          <w:sz w:val="24"/>
        </w:rPr>
        <w:t>2、负责本工程栏杆、楼梯、围栏深化设计，并负责设计联络。</w:t>
      </w:r>
    </w:p>
    <w:p>
      <w:pPr>
        <w:spacing w:line="360" w:lineRule="auto"/>
        <w:ind w:left="360" w:hanging="360" w:hangingChars="150"/>
        <w:rPr>
          <w:rFonts w:ascii="宋体" w:hAnsi="宋体" w:cs="宋体"/>
          <w:sz w:val="24"/>
        </w:rPr>
      </w:pPr>
      <w:r>
        <w:rPr>
          <w:rFonts w:hint="eastAsia" w:ascii="宋体" w:hAnsi="宋体" w:cs="宋体"/>
          <w:sz w:val="24"/>
        </w:rPr>
        <w:t>3、按本工程特点，结合现场工程进度计划编制施工方案，编排施工计划，报甲方、业主方和监理公司审批备案；</w:t>
      </w:r>
    </w:p>
    <w:p>
      <w:pPr>
        <w:spacing w:line="360" w:lineRule="auto"/>
        <w:ind w:left="360" w:hanging="360" w:hangingChars="150"/>
        <w:rPr>
          <w:rFonts w:ascii="宋体" w:hAnsi="宋体" w:cs="宋体"/>
          <w:color w:val="000000"/>
          <w:sz w:val="24"/>
        </w:rPr>
      </w:pPr>
      <w:r>
        <w:rPr>
          <w:rFonts w:hint="eastAsia" w:ascii="宋体" w:hAnsi="宋体" w:cs="宋体"/>
          <w:sz w:val="24"/>
        </w:rPr>
        <w:t>4、自行负责自身工作面上的安全系统和保卫工作，</w:t>
      </w:r>
      <w:r>
        <w:rPr>
          <w:rFonts w:hint="eastAsia" w:ascii="宋体" w:hAnsi="宋体" w:cs="宋体"/>
          <w:color w:val="000000"/>
          <w:sz w:val="24"/>
        </w:rPr>
        <w:t>并承担相应的经济和法律责任；</w:t>
      </w:r>
    </w:p>
    <w:p>
      <w:pPr>
        <w:spacing w:line="360" w:lineRule="auto"/>
        <w:ind w:left="360" w:hanging="360" w:hangingChars="150"/>
        <w:rPr>
          <w:rFonts w:ascii="宋体" w:hAnsi="宋体" w:cs="宋体"/>
          <w:sz w:val="24"/>
        </w:rPr>
      </w:pPr>
      <w:r>
        <w:rPr>
          <w:rFonts w:hint="eastAsia" w:ascii="宋体" w:hAnsi="宋体" w:cs="宋体"/>
          <w:sz w:val="24"/>
        </w:rPr>
        <w:t>5、未经甲方许可不得转包或分包其承担的工程。</w:t>
      </w:r>
    </w:p>
    <w:p>
      <w:pPr>
        <w:spacing w:line="360" w:lineRule="auto"/>
        <w:rPr>
          <w:rFonts w:ascii="宋体" w:hAnsi="宋体" w:cs="宋体"/>
          <w:sz w:val="24"/>
        </w:rPr>
      </w:pPr>
      <w:r>
        <w:rPr>
          <w:rFonts w:hint="eastAsia" w:ascii="宋体" w:hAnsi="宋体" w:cs="宋体"/>
          <w:sz w:val="24"/>
        </w:rPr>
        <w:t>6、根据甲方提供的进场时间进场；</w:t>
      </w:r>
    </w:p>
    <w:p>
      <w:pPr>
        <w:spacing w:line="360" w:lineRule="auto"/>
        <w:ind w:left="360" w:hanging="360" w:hangingChars="150"/>
        <w:rPr>
          <w:rFonts w:ascii="宋体" w:hAnsi="宋体" w:cs="宋体"/>
          <w:sz w:val="24"/>
        </w:rPr>
      </w:pPr>
      <w:r>
        <w:rPr>
          <w:rFonts w:hint="eastAsia" w:ascii="宋体" w:hAnsi="宋体" w:cs="宋体"/>
          <w:sz w:val="24"/>
        </w:rPr>
        <w:t>7、负责本单位施工人员安全及劳动保险责任，做到文明施工，防火、防盗，服从甲方的统一管理。</w:t>
      </w:r>
    </w:p>
    <w:p>
      <w:pPr>
        <w:spacing w:line="360" w:lineRule="auto"/>
        <w:ind w:left="360" w:hanging="360" w:hangingChars="150"/>
        <w:rPr>
          <w:rFonts w:ascii="宋体" w:hAnsi="宋体" w:cs="宋体"/>
          <w:sz w:val="24"/>
        </w:rPr>
      </w:pPr>
      <w:r>
        <w:rPr>
          <w:rFonts w:hint="eastAsia" w:ascii="宋体" w:hAnsi="宋体" w:cs="宋体"/>
          <w:sz w:val="24"/>
        </w:rPr>
        <w:t>8、按照施工进度计划要求组织施工，保证达到质量标准按期完工；</w:t>
      </w:r>
    </w:p>
    <w:p>
      <w:pPr>
        <w:spacing w:line="360" w:lineRule="auto"/>
        <w:ind w:left="360" w:hanging="360" w:hangingChars="150"/>
        <w:rPr>
          <w:rFonts w:ascii="宋体" w:hAnsi="宋体" w:cs="宋体"/>
          <w:sz w:val="24"/>
        </w:rPr>
      </w:pPr>
      <w:r>
        <w:rPr>
          <w:rFonts w:hint="eastAsia" w:ascii="宋体" w:hAnsi="宋体" w:cs="宋体"/>
          <w:sz w:val="24"/>
        </w:rPr>
        <w:t>9、施工现场执行文明施工的相关规定；</w:t>
      </w:r>
    </w:p>
    <w:p>
      <w:pPr>
        <w:numPr>
          <w:ilvl w:val="0"/>
          <w:numId w:val="2"/>
        </w:numPr>
        <w:tabs>
          <w:tab w:val="left" w:pos="1155"/>
          <w:tab w:val="clear" w:pos="1200"/>
        </w:tabs>
        <w:spacing w:line="360" w:lineRule="auto"/>
        <w:rPr>
          <w:rFonts w:ascii="宋体" w:hAnsi="宋体" w:cs="宋体"/>
          <w:b/>
          <w:bCs/>
          <w:sz w:val="28"/>
        </w:rPr>
      </w:pPr>
      <w:r>
        <w:rPr>
          <w:rFonts w:hint="eastAsia" w:ascii="宋体" w:hAnsi="宋体" w:cs="宋体"/>
          <w:b/>
          <w:bCs/>
          <w:sz w:val="28"/>
        </w:rPr>
        <w:t>工程期限</w:t>
      </w:r>
    </w:p>
    <w:p>
      <w:pPr>
        <w:spacing w:line="360" w:lineRule="auto"/>
        <w:ind w:left="360" w:hanging="360" w:hangingChars="150"/>
        <w:jc w:val="left"/>
        <w:rPr>
          <w:rFonts w:ascii="宋体" w:hAnsi="宋体" w:cs="宋体"/>
          <w:sz w:val="24"/>
        </w:rPr>
      </w:pPr>
      <w:r>
        <w:rPr>
          <w:rFonts w:hint="eastAsia" w:ascii="宋体" w:hAnsi="宋体" w:cs="宋体"/>
          <w:sz w:val="24"/>
          <w:highlight w:val="yellow"/>
        </w:rPr>
        <w:t>1、乙方在接到甲方通知后7个工作日内，乙方保证供货至现场。如因甲方原因或不可抗力因素造成乙方供货及人员的进场延误，乙方不承担延期责任，工期相应顺延。</w:t>
      </w:r>
    </w:p>
    <w:p>
      <w:pPr>
        <w:spacing w:line="360" w:lineRule="auto"/>
        <w:ind w:left="360" w:hanging="360" w:hangingChars="150"/>
        <w:rPr>
          <w:rFonts w:ascii="宋体" w:hAnsi="宋体" w:cs="宋体"/>
          <w:b/>
          <w:bCs/>
          <w:sz w:val="24"/>
        </w:rPr>
      </w:pPr>
      <w:r>
        <w:rPr>
          <w:rFonts w:hint="eastAsia" w:ascii="宋体" w:hAnsi="宋体" w:cs="宋体"/>
          <w:sz w:val="24"/>
          <w:highlight w:val="yellow"/>
        </w:rPr>
        <w:t>2、甲乙双方商定，自合同签订后接甲方进场通知之日起，工程期暂定为</w:t>
      </w:r>
      <w:r>
        <w:rPr>
          <w:rFonts w:hint="eastAsia" w:ascii="宋体" w:hAnsi="宋体" w:cs="宋体"/>
          <w:sz w:val="24"/>
          <w:highlight w:val="yellow"/>
          <w:u w:val="single"/>
        </w:rPr>
        <w:t xml:space="preserve"> 25</w:t>
      </w:r>
      <w:r>
        <w:rPr>
          <w:rFonts w:hint="eastAsia" w:ascii="宋体" w:hAnsi="宋体" w:cs="宋体"/>
          <w:sz w:val="24"/>
          <w:highlight w:val="yellow"/>
        </w:rPr>
        <w:t>天；乙方可以根据总包方墙面施工和安装计划，适当调整自己的安装进度及时间。</w:t>
      </w:r>
    </w:p>
    <w:p>
      <w:pPr>
        <w:spacing w:line="360" w:lineRule="auto"/>
        <w:rPr>
          <w:rFonts w:ascii="宋体" w:hAnsi="宋体" w:cs="宋体"/>
          <w:sz w:val="24"/>
        </w:rPr>
      </w:pPr>
      <w:r>
        <w:rPr>
          <w:rFonts w:hint="eastAsia" w:ascii="宋体" w:hAnsi="宋体" w:cs="宋体"/>
          <w:sz w:val="24"/>
        </w:rPr>
        <w:t>3、开工前五日，由甲方向乙方发出开工通知书。</w:t>
      </w:r>
    </w:p>
    <w:p>
      <w:pPr>
        <w:spacing w:line="360" w:lineRule="auto"/>
        <w:rPr>
          <w:rFonts w:ascii="宋体" w:hAnsi="宋体" w:cs="宋体"/>
          <w:sz w:val="24"/>
        </w:rPr>
      </w:pPr>
      <w:r>
        <w:rPr>
          <w:rFonts w:hint="eastAsia" w:ascii="宋体" w:hAnsi="宋体" w:cs="宋体"/>
          <w:sz w:val="24"/>
        </w:rPr>
        <w:t>4、如遇下列情况，工期相应顺延；</w:t>
      </w:r>
    </w:p>
    <w:p>
      <w:pPr>
        <w:numPr>
          <w:ilvl w:val="0"/>
          <w:numId w:val="5"/>
        </w:numPr>
        <w:tabs>
          <w:tab w:val="left" w:pos="360"/>
          <w:tab w:val="clear" w:pos="420"/>
        </w:tabs>
        <w:spacing w:line="360" w:lineRule="auto"/>
        <w:ind w:left="360" w:hanging="360"/>
        <w:rPr>
          <w:rFonts w:ascii="宋体" w:hAnsi="宋体" w:cs="宋体"/>
          <w:sz w:val="24"/>
        </w:rPr>
      </w:pPr>
      <w:r>
        <w:rPr>
          <w:rFonts w:hint="eastAsia" w:ascii="宋体" w:hAnsi="宋体" w:cs="宋体"/>
          <w:sz w:val="24"/>
        </w:rPr>
        <w:t>依合同规定，甲方不能提供施工场地、系统预制安装场地、材料存放场地、水电、障碍物未能清除，影响现场施工。</w:t>
      </w:r>
    </w:p>
    <w:p>
      <w:pPr>
        <w:numPr>
          <w:ilvl w:val="0"/>
          <w:numId w:val="5"/>
        </w:numPr>
        <w:tabs>
          <w:tab w:val="left" w:pos="360"/>
          <w:tab w:val="clear" w:pos="420"/>
        </w:tabs>
        <w:spacing w:line="360" w:lineRule="auto"/>
        <w:ind w:left="360" w:hanging="360"/>
        <w:rPr>
          <w:rFonts w:ascii="宋体" w:hAnsi="宋体" w:cs="宋体"/>
          <w:sz w:val="24"/>
        </w:rPr>
      </w:pPr>
      <w:r>
        <w:rPr>
          <w:rFonts w:hint="eastAsia" w:ascii="宋体" w:hAnsi="宋体" w:cs="宋体"/>
          <w:sz w:val="24"/>
        </w:rPr>
        <w:t>不属乙方责任范围内的重大设计变更，致使设计方案改变或由于施工无法进行等原因而影响进度。</w:t>
      </w:r>
    </w:p>
    <w:p>
      <w:pPr>
        <w:numPr>
          <w:ilvl w:val="0"/>
          <w:numId w:val="5"/>
        </w:numPr>
        <w:tabs>
          <w:tab w:val="left" w:pos="360"/>
          <w:tab w:val="clear" w:pos="420"/>
        </w:tabs>
        <w:spacing w:line="360" w:lineRule="auto"/>
        <w:ind w:left="360" w:hanging="360"/>
        <w:rPr>
          <w:rFonts w:ascii="宋体" w:hAnsi="宋体" w:cs="宋体"/>
          <w:sz w:val="24"/>
        </w:rPr>
      </w:pPr>
      <w:r>
        <w:rPr>
          <w:rFonts w:hint="eastAsia" w:ascii="宋体" w:hAnsi="宋体" w:cs="宋体"/>
          <w:sz w:val="24"/>
        </w:rPr>
        <w:t>在施工中如因停电、停水8小时以上或连续间歇性停水、停电3天以上（每次连续4小时以上），影响正常施工。</w:t>
      </w:r>
    </w:p>
    <w:p>
      <w:pPr>
        <w:numPr>
          <w:ilvl w:val="0"/>
          <w:numId w:val="5"/>
        </w:numPr>
        <w:tabs>
          <w:tab w:val="left" w:pos="360"/>
          <w:tab w:val="clear" w:pos="420"/>
        </w:tabs>
        <w:spacing w:line="360" w:lineRule="auto"/>
        <w:ind w:left="360" w:hanging="360"/>
        <w:rPr>
          <w:rFonts w:ascii="宋体" w:hAnsi="宋体" w:cs="宋体"/>
          <w:sz w:val="24"/>
        </w:rPr>
      </w:pPr>
      <w:r>
        <w:rPr>
          <w:rFonts w:hint="eastAsia" w:ascii="宋体" w:hAnsi="宋体" w:cs="宋体"/>
          <w:sz w:val="24"/>
        </w:rPr>
        <w:t>非乙方原因（如因土建原因无工作界面等）及不可抗力因素（如战争、地震、自然灾害等因素）影响工期,工期顺延。</w:t>
      </w:r>
    </w:p>
    <w:p>
      <w:pPr>
        <w:spacing w:line="360" w:lineRule="auto"/>
        <w:rPr>
          <w:rFonts w:ascii="宋体" w:hAnsi="宋体" w:cs="宋体"/>
          <w:sz w:val="24"/>
        </w:rPr>
      </w:pPr>
      <w:r>
        <w:rPr>
          <w:rFonts w:hint="eastAsia" w:ascii="宋体" w:hAnsi="宋体" w:cs="宋体"/>
          <w:b/>
          <w:bCs/>
          <w:sz w:val="28"/>
        </w:rPr>
        <w:t>第四条工程价款的支付与结算</w:t>
      </w:r>
    </w:p>
    <w:p>
      <w:pPr>
        <w:spacing w:line="360" w:lineRule="auto"/>
        <w:rPr>
          <w:rFonts w:ascii="宋体" w:hAnsi="宋体" w:cs="宋体"/>
          <w:sz w:val="24"/>
        </w:rPr>
      </w:pPr>
      <w:r>
        <w:rPr>
          <w:rFonts w:hint="eastAsia" w:ascii="宋体" w:hAnsi="宋体" w:cs="宋体"/>
          <w:sz w:val="24"/>
        </w:rPr>
        <w:t>1、本合同为综合单价合同，是完成安博重庆空港物流中心项目II期工程图纸中所有栏杆、楼梯、围栏的材料供货和安装、调试、验收等全部费用，总价为元（详见栏杆、楼梯及围栏、订购清单）。</w:t>
      </w:r>
    </w:p>
    <w:p>
      <w:pPr>
        <w:spacing w:line="360" w:lineRule="auto"/>
        <w:rPr>
          <w:rFonts w:ascii="宋体" w:hAnsi="宋体" w:cs="宋体"/>
          <w:sz w:val="24"/>
        </w:rPr>
      </w:pPr>
      <w:r>
        <w:rPr>
          <w:rFonts w:hint="eastAsia" w:ascii="宋体" w:hAnsi="宋体" w:cs="宋体"/>
          <w:sz w:val="24"/>
        </w:rPr>
        <w:t>2、预付款：合同预付款为合同总价款的40％。</w:t>
      </w:r>
    </w:p>
    <w:p>
      <w:pPr>
        <w:spacing w:line="360" w:lineRule="auto"/>
        <w:rPr>
          <w:rFonts w:ascii="宋体" w:hAnsi="宋体" w:cs="宋体"/>
          <w:sz w:val="24"/>
        </w:rPr>
      </w:pPr>
      <w:r>
        <w:rPr>
          <w:rFonts w:hint="eastAsia" w:ascii="宋体" w:hAnsi="宋体" w:cs="宋体"/>
          <w:sz w:val="24"/>
        </w:rPr>
        <w:t>3、进度款：</w:t>
      </w:r>
    </w:p>
    <w:p>
      <w:pPr>
        <w:spacing w:line="360" w:lineRule="auto"/>
        <w:rPr>
          <w:rFonts w:ascii="宋体" w:hAnsi="宋体" w:cs="宋体"/>
          <w:sz w:val="24"/>
        </w:rPr>
      </w:pPr>
      <w:r>
        <w:rPr>
          <w:rFonts w:hint="eastAsia" w:ascii="宋体" w:hAnsi="宋体" w:cs="宋体"/>
          <w:sz w:val="24"/>
        </w:rPr>
        <w:t>3.1全部栏杆、楼梯及围栏、进场经甲方确认后5个工作日内，支付至合同价款的80％，</w:t>
      </w:r>
    </w:p>
    <w:p>
      <w:pPr>
        <w:spacing w:line="360" w:lineRule="auto"/>
        <w:rPr>
          <w:rFonts w:ascii="宋体" w:hAnsi="宋体" w:cs="宋体"/>
          <w:sz w:val="24"/>
        </w:rPr>
      </w:pPr>
      <w:r>
        <w:rPr>
          <w:rFonts w:hint="eastAsia" w:ascii="宋体" w:hAnsi="宋体" w:cs="宋体"/>
          <w:sz w:val="24"/>
        </w:rPr>
        <w:t>3.2全部栏杆、楼梯及围栏、进场经甲方确认后，并安装完成验收通过，每次付款前均要求开具发票，支付至合同价款的97％，并开具全额发票（含质保金），剩余3%作为质量保证金，在缺陷责任期终止后30日内，承包人退还剩余的质量保证金，不计利息。</w:t>
      </w:r>
    </w:p>
    <w:p>
      <w:pPr>
        <w:spacing w:line="360" w:lineRule="auto"/>
        <w:contextualSpacing/>
        <w:rPr>
          <w:rFonts w:ascii="宋体" w:hAnsi="宋体" w:cs="宋体"/>
          <w:b/>
          <w:bCs/>
          <w:szCs w:val="21"/>
        </w:rPr>
      </w:pPr>
      <w:r>
        <w:rPr>
          <w:rFonts w:hint="eastAsia" w:ascii="宋体" w:hAnsi="宋体" w:cs="宋体"/>
          <w:sz w:val="24"/>
        </w:rPr>
        <w:t xml:space="preserve">3.4 </w:t>
      </w:r>
      <w:r>
        <w:rPr>
          <w:rFonts w:hint="eastAsia" w:ascii="宋体" w:hAnsi="宋体" w:cs="宋体"/>
          <w:b/>
          <w:bCs/>
          <w:szCs w:val="21"/>
        </w:rPr>
        <w:t>乙方银行基本账户信息：</w:t>
      </w:r>
    </w:p>
    <w:p>
      <w:pPr>
        <w:adjustRightInd w:val="0"/>
        <w:spacing w:line="360" w:lineRule="auto"/>
        <w:ind w:firstLine="1050" w:firstLineChars="500"/>
        <w:contextualSpacing/>
        <w:rPr>
          <w:rFonts w:ascii="宋体" w:hAnsi="宋体" w:cs="宋体"/>
          <w:bCs/>
          <w:color w:val="FF0000"/>
          <w:szCs w:val="21"/>
          <w:u w:val="single"/>
        </w:rPr>
      </w:pPr>
      <w:r>
        <w:rPr>
          <w:rFonts w:hint="eastAsia" w:ascii="宋体" w:hAnsi="宋体" w:cs="宋体"/>
          <w:bCs/>
          <w:color w:val="FF0000"/>
          <w:szCs w:val="21"/>
        </w:rPr>
        <w:t>开户行:</w:t>
      </w:r>
      <w:r>
        <w:rPr>
          <w:rFonts w:hint="eastAsia" w:ascii="宋体" w:hAnsi="宋体" w:cs="宋体"/>
          <w:bCs/>
          <w:color w:val="FF0000"/>
          <w:szCs w:val="21"/>
          <w:u w:val="single"/>
        </w:rPr>
        <w:t xml:space="preserve">                         </w:t>
      </w:r>
    </w:p>
    <w:p>
      <w:pPr>
        <w:adjustRightInd w:val="0"/>
        <w:spacing w:line="360" w:lineRule="auto"/>
        <w:ind w:firstLine="1050" w:firstLineChars="500"/>
        <w:contextualSpacing/>
        <w:rPr>
          <w:rFonts w:ascii="宋体" w:hAnsi="宋体" w:cs="宋体"/>
          <w:bCs/>
          <w:color w:val="FF0000"/>
          <w:szCs w:val="21"/>
          <w:u w:val="single"/>
        </w:rPr>
      </w:pPr>
      <w:r>
        <w:rPr>
          <w:rFonts w:hint="eastAsia" w:ascii="宋体" w:hAnsi="宋体" w:cs="宋体"/>
          <w:bCs/>
          <w:color w:val="FF0000"/>
          <w:szCs w:val="21"/>
        </w:rPr>
        <w:t>开户名称：</w:t>
      </w:r>
      <w:r>
        <w:rPr>
          <w:rFonts w:hint="eastAsia" w:ascii="宋体" w:hAnsi="宋体" w:cs="宋体"/>
          <w:bCs/>
          <w:color w:val="FF0000"/>
          <w:szCs w:val="21"/>
          <w:u w:val="single"/>
        </w:rPr>
        <w:t xml:space="preserve">                      </w:t>
      </w:r>
    </w:p>
    <w:p>
      <w:pPr>
        <w:adjustRightInd w:val="0"/>
        <w:spacing w:line="360" w:lineRule="auto"/>
        <w:ind w:firstLine="1050" w:firstLineChars="500"/>
        <w:contextualSpacing/>
        <w:rPr>
          <w:rFonts w:ascii="宋体" w:hAnsi="宋体" w:cs="宋体"/>
          <w:sz w:val="24"/>
        </w:rPr>
      </w:pPr>
      <w:r>
        <w:rPr>
          <w:rFonts w:hint="eastAsia" w:ascii="宋体" w:hAnsi="宋体" w:cs="宋体"/>
          <w:bCs/>
          <w:color w:val="FF0000"/>
          <w:szCs w:val="21"/>
        </w:rPr>
        <w:t>账号：</w:t>
      </w:r>
      <w:r>
        <w:rPr>
          <w:rFonts w:hint="eastAsia" w:ascii="宋体" w:hAnsi="宋体" w:cs="宋体"/>
          <w:bCs/>
          <w:color w:val="FF0000"/>
          <w:szCs w:val="21"/>
          <w:u w:val="single"/>
        </w:rPr>
        <w:t xml:space="preserve">                          </w:t>
      </w:r>
    </w:p>
    <w:p>
      <w:pPr>
        <w:spacing w:line="360" w:lineRule="auto"/>
        <w:rPr>
          <w:rFonts w:ascii="宋体" w:hAnsi="宋体" w:cs="宋体"/>
          <w:b/>
          <w:bCs/>
          <w:sz w:val="28"/>
        </w:rPr>
      </w:pPr>
      <w:r>
        <w:rPr>
          <w:rFonts w:hint="eastAsia" w:ascii="宋体" w:hAnsi="宋体" w:cs="宋体"/>
          <w:b/>
          <w:bCs/>
          <w:sz w:val="28"/>
        </w:rPr>
        <w:t>第五条工程质量</w:t>
      </w:r>
    </w:p>
    <w:p>
      <w:pPr>
        <w:spacing w:line="360" w:lineRule="auto"/>
        <w:rPr>
          <w:rFonts w:ascii="宋体" w:hAnsi="宋体" w:cs="宋体"/>
          <w:sz w:val="24"/>
        </w:rPr>
      </w:pPr>
      <w:r>
        <w:rPr>
          <w:rFonts w:hint="eastAsia" w:ascii="宋体" w:hAnsi="宋体" w:cs="宋体"/>
          <w:sz w:val="24"/>
        </w:rPr>
        <w:t>1、工程质量达到国家和地方现行相关规范、标准和工程设计文件的要求，并一次性验收合格。若未通过验收，所产生的整改及返工费用由乙方自行承担。</w:t>
      </w:r>
    </w:p>
    <w:p>
      <w:pPr>
        <w:spacing w:line="360" w:lineRule="auto"/>
        <w:ind w:left="360" w:hanging="360" w:hangingChars="150"/>
        <w:rPr>
          <w:rFonts w:ascii="宋体" w:hAnsi="宋体" w:cs="宋体"/>
          <w:sz w:val="24"/>
        </w:rPr>
      </w:pPr>
      <w:r>
        <w:rPr>
          <w:rFonts w:hint="eastAsia" w:ascii="宋体" w:hAnsi="宋体" w:cs="宋体"/>
          <w:sz w:val="24"/>
        </w:rPr>
        <w:t>2、质保期为两年，质保期从栏杆、楼梯及围栏、验收合格之日期计算，质保期内乙方对栏杆、楼梯及围栏、非人为及不可抗力损坏的质量问题提供免费维修。</w:t>
      </w:r>
    </w:p>
    <w:p>
      <w:pPr>
        <w:spacing w:line="360" w:lineRule="auto"/>
        <w:ind w:left="240" w:hanging="240" w:hangingChars="100"/>
        <w:rPr>
          <w:rFonts w:ascii="宋体" w:hAnsi="宋体" w:cs="宋体"/>
          <w:sz w:val="24"/>
        </w:rPr>
      </w:pPr>
      <w:r>
        <w:rPr>
          <w:rFonts w:hint="eastAsia" w:ascii="宋体" w:hAnsi="宋体" w:cs="宋体"/>
          <w:sz w:val="24"/>
        </w:rPr>
        <w:t>3、施工过程中及时报验资料，竣工后乙方向甲方提供完整合格的竣工资料。</w:t>
      </w:r>
    </w:p>
    <w:p>
      <w:pPr>
        <w:numPr>
          <w:ilvl w:val="0"/>
          <w:numId w:val="6"/>
        </w:numPr>
        <w:spacing w:line="360" w:lineRule="auto"/>
        <w:rPr>
          <w:rFonts w:ascii="宋体" w:hAnsi="宋体" w:cs="宋体"/>
          <w:b/>
          <w:bCs/>
          <w:sz w:val="28"/>
        </w:rPr>
      </w:pPr>
      <w:r>
        <w:rPr>
          <w:rFonts w:hint="eastAsia" w:ascii="宋体" w:hAnsi="宋体" w:cs="宋体"/>
          <w:b/>
          <w:bCs/>
          <w:sz w:val="28"/>
        </w:rPr>
        <w:t>验收</w:t>
      </w:r>
    </w:p>
    <w:p>
      <w:pPr>
        <w:spacing w:line="360" w:lineRule="auto"/>
        <w:rPr>
          <w:rFonts w:ascii="宋体" w:hAnsi="宋体" w:cs="宋体"/>
          <w:sz w:val="24"/>
        </w:rPr>
      </w:pPr>
      <w:r>
        <w:rPr>
          <w:rFonts w:hint="eastAsia" w:ascii="宋体" w:hAnsi="宋体" w:cs="宋体"/>
          <w:sz w:val="24"/>
        </w:rPr>
        <w:t>1、材料验收</w:t>
      </w:r>
    </w:p>
    <w:p>
      <w:pPr>
        <w:spacing w:line="360" w:lineRule="auto"/>
        <w:ind w:left="359" w:leftChars="171"/>
        <w:rPr>
          <w:rFonts w:ascii="宋体" w:hAnsi="宋体" w:cs="宋体"/>
          <w:sz w:val="24"/>
        </w:rPr>
      </w:pPr>
      <w:r>
        <w:rPr>
          <w:rFonts w:hint="eastAsia" w:ascii="宋体" w:hAnsi="宋体" w:cs="宋体"/>
          <w:sz w:val="24"/>
        </w:rPr>
        <w:t>乙方将材料运至现场后，甲方应在三日内组织业主、监理进行验收，验收合格后签发验收合格凭证，并准予用于本工程施工，逾期视为验收合格。如无</w:t>
      </w:r>
    </w:p>
    <w:p>
      <w:pPr>
        <w:spacing w:line="360" w:lineRule="auto"/>
        <w:ind w:left="359" w:leftChars="171"/>
        <w:rPr>
          <w:rFonts w:ascii="宋体" w:hAnsi="宋体" w:cs="宋体"/>
          <w:sz w:val="24"/>
        </w:rPr>
      </w:pPr>
      <w:r>
        <w:rPr>
          <w:rFonts w:hint="eastAsia" w:ascii="宋体" w:hAnsi="宋体" w:cs="宋体"/>
          <w:sz w:val="24"/>
        </w:rPr>
        <w:t>正当理由，甲方不得拒接材料。甲方如无正当理由拒接材料，承担由此而造成的损失及相应的运输费用。如因乙方所提供产品质量问题甲方拒接，乙方应及时更换相应合格的材料，工期不顺延。</w:t>
      </w:r>
    </w:p>
    <w:p>
      <w:pPr>
        <w:spacing w:line="360" w:lineRule="auto"/>
        <w:rPr>
          <w:rFonts w:ascii="宋体" w:hAnsi="宋体" w:cs="宋体"/>
          <w:sz w:val="24"/>
        </w:rPr>
      </w:pPr>
      <w:r>
        <w:rPr>
          <w:rFonts w:hint="eastAsia" w:ascii="宋体" w:hAnsi="宋体" w:cs="宋体"/>
          <w:sz w:val="24"/>
        </w:rPr>
        <w:t>2、工程验收标准</w:t>
      </w:r>
    </w:p>
    <w:p>
      <w:pPr>
        <w:spacing w:line="360" w:lineRule="auto"/>
        <w:ind w:firstLine="360" w:firstLineChars="150"/>
        <w:rPr>
          <w:rFonts w:ascii="宋体" w:hAnsi="宋体" w:cs="宋体"/>
          <w:sz w:val="24"/>
        </w:rPr>
      </w:pPr>
      <w:r>
        <w:rPr>
          <w:rFonts w:hint="eastAsia" w:ascii="宋体" w:hAnsi="宋体" w:cs="宋体"/>
          <w:sz w:val="24"/>
        </w:rPr>
        <w:t>国家和地方现行相关规范、标准和工程设计文件的要求</w:t>
      </w:r>
      <w:r>
        <w:rPr>
          <w:rFonts w:hint="eastAsia" w:ascii="宋体" w:hAnsi="宋体" w:cs="宋体"/>
          <w:sz w:val="24"/>
          <w:highlight w:val="red"/>
        </w:rPr>
        <w:t>。</w:t>
      </w:r>
    </w:p>
    <w:p>
      <w:pPr>
        <w:spacing w:line="360" w:lineRule="auto"/>
        <w:rPr>
          <w:rFonts w:ascii="宋体" w:hAnsi="宋体" w:cs="宋体"/>
          <w:sz w:val="24"/>
        </w:rPr>
      </w:pPr>
      <w:r>
        <w:rPr>
          <w:rFonts w:hint="eastAsia" w:ascii="宋体" w:hAnsi="宋体" w:cs="宋体"/>
          <w:b/>
          <w:bCs/>
          <w:sz w:val="28"/>
        </w:rPr>
        <w:t>第七条保修</w:t>
      </w:r>
    </w:p>
    <w:p>
      <w:pPr>
        <w:numPr>
          <w:ilvl w:val="1"/>
          <w:numId w:val="6"/>
        </w:numPr>
        <w:spacing w:line="360" w:lineRule="auto"/>
        <w:rPr>
          <w:rFonts w:ascii="宋体" w:hAnsi="宋体" w:cs="宋体"/>
          <w:sz w:val="24"/>
        </w:rPr>
      </w:pPr>
      <w:r>
        <w:rPr>
          <w:rFonts w:hint="eastAsia" w:ascii="宋体" w:hAnsi="宋体" w:cs="宋体"/>
          <w:sz w:val="24"/>
        </w:rPr>
        <w:t>保修范围：安博重庆空港物流中心项目II期工程-栏杆及楼梯采购招标文件栏杆、楼梯及围栏、。</w:t>
      </w:r>
    </w:p>
    <w:p>
      <w:pPr>
        <w:numPr>
          <w:ilvl w:val="1"/>
          <w:numId w:val="6"/>
        </w:numPr>
        <w:spacing w:line="360" w:lineRule="auto"/>
        <w:rPr>
          <w:rFonts w:ascii="宋体" w:hAnsi="宋体" w:cs="宋体"/>
          <w:sz w:val="24"/>
        </w:rPr>
      </w:pPr>
      <w:r>
        <w:rPr>
          <w:rFonts w:hint="eastAsia" w:ascii="宋体" w:hAnsi="宋体" w:cs="宋体"/>
          <w:sz w:val="24"/>
        </w:rPr>
        <w:t>保修期限：安博重庆空港物流中心项目II期工程-栏杆及楼梯采购招标文件验收合格之日起两年。</w:t>
      </w:r>
    </w:p>
    <w:p>
      <w:pPr>
        <w:spacing w:line="360" w:lineRule="auto"/>
        <w:rPr>
          <w:rFonts w:ascii="宋体" w:hAnsi="宋体" w:cs="宋体"/>
          <w:b/>
          <w:bCs/>
          <w:sz w:val="28"/>
        </w:rPr>
      </w:pPr>
      <w:r>
        <w:rPr>
          <w:rFonts w:hint="eastAsia" w:ascii="宋体" w:hAnsi="宋体" w:cs="宋体"/>
          <w:b/>
          <w:bCs/>
          <w:sz w:val="28"/>
        </w:rPr>
        <w:t>第八条保密条款</w:t>
      </w:r>
    </w:p>
    <w:p>
      <w:pPr>
        <w:spacing w:line="360" w:lineRule="auto"/>
        <w:ind w:left="359" w:leftChars="171"/>
        <w:rPr>
          <w:rFonts w:ascii="宋体" w:hAnsi="宋体" w:cs="宋体"/>
          <w:sz w:val="24"/>
        </w:rPr>
      </w:pPr>
      <w:r>
        <w:rPr>
          <w:rFonts w:hint="eastAsia" w:ascii="宋体" w:hAnsi="宋体" w:cs="宋体"/>
          <w:sz w:val="24"/>
        </w:rPr>
        <w:t>甲乙双方对合作过程中获取知道的另一方的商业技术秘密负保密义务，也不得利用获取就该项目所提供的报价从事损害另一方权益的行为。</w:t>
      </w:r>
    </w:p>
    <w:p>
      <w:pPr>
        <w:tabs>
          <w:tab w:val="left" w:pos="2400"/>
        </w:tabs>
        <w:spacing w:line="360" w:lineRule="auto"/>
        <w:rPr>
          <w:rFonts w:ascii="宋体" w:hAnsi="宋体" w:cs="宋体"/>
          <w:b/>
          <w:bCs/>
          <w:sz w:val="28"/>
        </w:rPr>
      </w:pPr>
      <w:r>
        <w:rPr>
          <w:rFonts w:hint="eastAsia" w:ascii="宋体" w:hAnsi="宋体" w:cs="宋体"/>
          <w:b/>
          <w:bCs/>
          <w:sz w:val="28"/>
        </w:rPr>
        <w:t>第九条违约责任</w:t>
      </w:r>
      <w:r>
        <w:rPr>
          <w:rFonts w:hint="eastAsia" w:ascii="宋体" w:hAnsi="宋体" w:cs="宋体"/>
          <w:b/>
          <w:bCs/>
          <w:sz w:val="28"/>
        </w:rPr>
        <w:tab/>
      </w:r>
    </w:p>
    <w:p>
      <w:pPr>
        <w:spacing w:line="360" w:lineRule="auto"/>
        <w:ind w:left="360" w:hanging="360" w:hangingChars="150"/>
        <w:rPr>
          <w:rFonts w:ascii="宋体" w:hAnsi="宋体" w:cs="宋体"/>
          <w:sz w:val="24"/>
        </w:rPr>
      </w:pPr>
      <w:r>
        <w:rPr>
          <w:rFonts w:hint="eastAsia" w:ascii="宋体" w:hAnsi="宋体" w:cs="宋体"/>
          <w:sz w:val="24"/>
          <w:highlight w:val="yellow"/>
        </w:rPr>
        <w:t>1、乙方未按时完成工期视为违约，每拖期一天，罚额为合同价款的千分之一，上限不超过合同总价的百分之五。</w:t>
      </w:r>
    </w:p>
    <w:p>
      <w:pPr>
        <w:spacing w:line="360" w:lineRule="auto"/>
        <w:ind w:left="360" w:hanging="360" w:hangingChars="150"/>
        <w:rPr>
          <w:rFonts w:ascii="宋体" w:hAnsi="宋体" w:cs="宋体"/>
          <w:sz w:val="24"/>
        </w:rPr>
      </w:pPr>
      <w:r>
        <w:rPr>
          <w:rFonts w:hint="eastAsia" w:ascii="宋体" w:hAnsi="宋体" w:cs="宋体"/>
          <w:sz w:val="24"/>
        </w:rPr>
        <w:t>2、如因甲方原因造成工期延误，工期顺延。</w:t>
      </w:r>
    </w:p>
    <w:p>
      <w:pPr>
        <w:spacing w:line="360" w:lineRule="auto"/>
        <w:rPr>
          <w:rFonts w:ascii="宋体" w:hAnsi="宋体" w:cs="宋体"/>
          <w:b/>
          <w:bCs/>
          <w:sz w:val="28"/>
        </w:rPr>
      </w:pPr>
      <w:r>
        <w:rPr>
          <w:rFonts w:hint="eastAsia" w:ascii="宋体" w:hAnsi="宋体" w:cs="宋体"/>
          <w:b/>
          <w:bCs/>
          <w:sz w:val="28"/>
        </w:rPr>
        <w:t>第十条合同的生效、变更、终止</w:t>
      </w:r>
    </w:p>
    <w:p>
      <w:pPr>
        <w:spacing w:line="360" w:lineRule="auto"/>
        <w:ind w:firstLine="480"/>
        <w:rPr>
          <w:rFonts w:ascii="宋体" w:hAnsi="宋体" w:cs="宋体"/>
          <w:sz w:val="24"/>
        </w:rPr>
      </w:pPr>
      <w:r>
        <w:rPr>
          <w:rFonts w:hint="eastAsia" w:ascii="宋体" w:hAnsi="宋体" w:cs="宋体"/>
          <w:sz w:val="24"/>
        </w:rPr>
        <w:t>本合同自双方签字盖章并加盖骑缝章，且需方收到供方缴纳履约保证金后生效，工程款结清时终止。</w:t>
      </w:r>
    </w:p>
    <w:p>
      <w:pPr>
        <w:spacing w:line="360" w:lineRule="auto"/>
        <w:rPr>
          <w:rFonts w:ascii="宋体" w:hAnsi="宋体" w:cs="宋体"/>
          <w:b/>
          <w:bCs/>
          <w:sz w:val="30"/>
        </w:rPr>
      </w:pPr>
      <w:r>
        <w:rPr>
          <w:rFonts w:hint="eastAsia" w:ascii="宋体" w:hAnsi="宋体" w:cs="宋体"/>
          <w:b/>
          <w:bCs/>
          <w:sz w:val="30"/>
        </w:rPr>
        <w:t>第十一条争议</w:t>
      </w:r>
    </w:p>
    <w:p>
      <w:pPr>
        <w:spacing w:line="360" w:lineRule="auto"/>
        <w:ind w:left="359" w:leftChars="171"/>
        <w:rPr>
          <w:rFonts w:ascii="宋体" w:hAnsi="宋体" w:cs="宋体"/>
          <w:sz w:val="24"/>
        </w:rPr>
      </w:pPr>
      <w:r>
        <w:rPr>
          <w:rFonts w:hint="eastAsia" w:ascii="宋体" w:hAnsi="宋体" w:cs="宋体"/>
          <w:sz w:val="24"/>
        </w:rPr>
        <w:t>本合同在履行过程中发生的争议由甲乙双方协商解决，协商不成可向</w:t>
      </w:r>
      <w:r>
        <w:rPr>
          <w:rFonts w:hint="eastAsia" w:ascii="宋体" w:hAnsi="宋体" w:cs="宋体"/>
          <w:sz w:val="24"/>
          <w:u w:val="single"/>
        </w:rPr>
        <w:t>工程所在地</w:t>
      </w:r>
      <w:r>
        <w:rPr>
          <w:rFonts w:hint="eastAsia" w:ascii="宋体" w:hAnsi="宋体" w:cs="宋体"/>
          <w:sz w:val="24"/>
        </w:rPr>
        <w:t>人民法院起诉。</w:t>
      </w:r>
    </w:p>
    <w:p>
      <w:pPr>
        <w:spacing w:line="360" w:lineRule="auto"/>
        <w:rPr>
          <w:rFonts w:ascii="宋体" w:hAnsi="宋体" w:cs="宋体"/>
          <w:b/>
          <w:bCs/>
          <w:sz w:val="24"/>
        </w:rPr>
      </w:pPr>
      <w:r>
        <w:rPr>
          <w:rFonts w:hint="eastAsia" w:ascii="宋体" w:hAnsi="宋体" w:cs="宋体"/>
          <w:b/>
          <w:bCs/>
          <w:sz w:val="24"/>
        </w:rPr>
        <w:t>第十二条其他约定</w:t>
      </w:r>
    </w:p>
    <w:p>
      <w:pPr>
        <w:spacing w:line="360" w:lineRule="auto"/>
        <w:ind w:left="420" w:hanging="420" w:hangingChars="175"/>
        <w:rPr>
          <w:rFonts w:ascii="宋体" w:hAnsi="宋体" w:cs="宋体"/>
          <w:sz w:val="24"/>
        </w:rPr>
      </w:pPr>
      <w:r>
        <w:rPr>
          <w:rFonts w:hint="eastAsia" w:ascii="宋体" w:hAnsi="宋体" w:cs="宋体"/>
          <w:sz w:val="24"/>
        </w:rPr>
        <w:t>1、特殊情况甲方须变更时，须由原设计单位或甲方盖章后，向乙方下发正式修改通知书和图纸，乙方可实施，修改施工图或变更通知须在被修改变更部分施工前48小时发给乙方。</w:t>
      </w:r>
    </w:p>
    <w:p>
      <w:pPr>
        <w:spacing w:line="360" w:lineRule="auto"/>
        <w:ind w:left="420" w:hanging="420" w:hangingChars="175"/>
        <w:rPr>
          <w:rFonts w:ascii="宋体" w:hAnsi="宋体" w:cs="宋体"/>
          <w:sz w:val="24"/>
        </w:rPr>
      </w:pPr>
      <w:r>
        <w:rPr>
          <w:rFonts w:hint="eastAsia" w:ascii="宋体" w:hAnsi="宋体" w:cs="宋体"/>
          <w:sz w:val="24"/>
        </w:rPr>
        <w:t>2、合同签定后，若对本合同某些细节部分有补充意见，经甲乙双方协商同意后，</w:t>
      </w:r>
    </w:p>
    <w:p>
      <w:pPr>
        <w:spacing w:line="360" w:lineRule="auto"/>
        <w:ind w:left="419" w:leftChars="171" w:hanging="60" w:hangingChars="25"/>
        <w:rPr>
          <w:rFonts w:ascii="宋体" w:hAnsi="宋体" w:cs="宋体"/>
          <w:sz w:val="24"/>
        </w:rPr>
      </w:pPr>
      <w:r>
        <w:rPr>
          <w:rFonts w:hint="eastAsia" w:ascii="宋体" w:hAnsi="宋体" w:cs="宋体"/>
          <w:sz w:val="24"/>
        </w:rPr>
        <w:t>可以签定相应的补充协议，补充协议与本合同具有同等法律效力。</w:t>
      </w:r>
    </w:p>
    <w:p>
      <w:pPr>
        <w:spacing w:line="360" w:lineRule="auto"/>
        <w:rPr>
          <w:rFonts w:ascii="宋体" w:hAnsi="宋体" w:cs="宋体"/>
          <w:b/>
          <w:bCs/>
          <w:sz w:val="24"/>
        </w:rPr>
      </w:pPr>
    </w:p>
    <w:p>
      <w:pPr>
        <w:spacing w:line="360" w:lineRule="auto"/>
        <w:rPr>
          <w:rFonts w:ascii="宋体" w:hAnsi="宋体" w:cs="宋体"/>
          <w:b/>
          <w:bCs/>
          <w:sz w:val="24"/>
        </w:rPr>
      </w:pPr>
    </w:p>
    <w:p>
      <w:pPr>
        <w:spacing w:line="360" w:lineRule="auto"/>
        <w:rPr>
          <w:rFonts w:ascii="宋体" w:hAnsi="宋体" w:cs="宋体"/>
          <w:b/>
          <w:bCs/>
          <w:sz w:val="24"/>
        </w:rPr>
      </w:pPr>
      <w:r>
        <w:rPr>
          <w:rFonts w:hint="eastAsia" w:ascii="宋体" w:hAnsi="宋体" w:cs="宋体"/>
          <w:b/>
          <w:bCs/>
          <w:sz w:val="24"/>
        </w:rPr>
        <w:t>第十三条合同份数</w:t>
      </w:r>
    </w:p>
    <w:p>
      <w:pPr>
        <w:spacing w:line="360" w:lineRule="auto"/>
        <w:ind w:firstLine="480" w:firstLineChars="200"/>
        <w:rPr>
          <w:rFonts w:ascii="宋体" w:hAnsi="宋体" w:cs="宋体"/>
          <w:sz w:val="24"/>
        </w:rPr>
      </w:pPr>
      <w:r>
        <w:rPr>
          <w:rFonts w:hint="eastAsia" w:ascii="宋体" w:hAnsi="宋体" w:cs="宋体"/>
          <w:sz w:val="24"/>
        </w:rPr>
        <w:t>本合同一式</w:t>
      </w:r>
      <w:r>
        <w:rPr>
          <w:rFonts w:hint="eastAsia" w:ascii="宋体" w:hAnsi="宋体" w:cs="宋体"/>
          <w:color w:val="000000"/>
          <w:sz w:val="24"/>
        </w:rPr>
        <w:t>陆</w:t>
      </w:r>
      <w:r>
        <w:rPr>
          <w:rFonts w:hint="eastAsia" w:ascii="宋体" w:hAnsi="宋体" w:cs="宋体"/>
          <w:sz w:val="24"/>
        </w:rPr>
        <w:t>份，甲方</w:t>
      </w:r>
      <w:r>
        <w:rPr>
          <w:rFonts w:hint="eastAsia" w:ascii="宋体" w:hAnsi="宋体" w:cs="宋体"/>
          <w:sz w:val="24"/>
          <w:u w:val="single"/>
        </w:rPr>
        <w:t>肆</w:t>
      </w:r>
      <w:r>
        <w:rPr>
          <w:rFonts w:hint="eastAsia" w:ascii="宋体" w:hAnsi="宋体" w:cs="宋体"/>
          <w:sz w:val="24"/>
        </w:rPr>
        <w:t>份，乙方</w:t>
      </w:r>
      <w:r>
        <w:rPr>
          <w:rFonts w:hint="eastAsia" w:ascii="宋体" w:hAnsi="宋体" w:cs="宋体"/>
          <w:sz w:val="24"/>
          <w:u w:val="single"/>
        </w:rPr>
        <w:t>贰</w:t>
      </w:r>
      <w:r>
        <w:rPr>
          <w:rFonts w:hint="eastAsia" w:ascii="宋体" w:hAnsi="宋体" w:cs="宋体"/>
          <w:sz w:val="24"/>
        </w:rPr>
        <w:t>份。</w:t>
      </w:r>
    </w:p>
    <w:p>
      <w:pPr>
        <w:spacing w:line="360" w:lineRule="auto"/>
        <w:ind w:firstLine="480" w:firstLineChars="200"/>
        <w:rPr>
          <w:rFonts w:ascii="宋体" w:hAnsi="宋体" w:cs="宋体"/>
          <w:sz w:val="24"/>
        </w:rPr>
      </w:pPr>
    </w:p>
    <w:p>
      <w:pPr>
        <w:spacing w:line="360" w:lineRule="auto"/>
        <w:ind w:left="6000" w:hanging="6000" w:hangingChars="2500"/>
        <w:rPr>
          <w:rFonts w:ascii="宋体" w:hAnsi="宋体" w:cs="宋体"/>
          <w:sz w:val="24"/>
        </w:rPr>
      </w:pPr>
      <w:r>
        <w:rPr>
          <w:rFonts w:hint="eastAsia" w:ascii="宋体" w:hAnsi="宋体" w:cs="宋体"/>
          <w:sz w:val="24"/>
        </w:rPr>
        <w:t>甲方：乙方：</w:t>
      </w:r>
    </w:p>
    <w:p>
      <w:pPr>
        <w:spacing w:line="360" w:lineRule="auto"/>
        <w:rPr>
          <w:rFonts w:ascii="宋体" w:hAnsi="宋体" w:cs="宋体"/>
          <w:sz w:val="24"/>
        </w:rPr>
      </w:pPr>
      <w:r>
        <w:rPr>
          <w:rFonts w:hint="eastAsia" w:ascii="宋体" w:hAnsi="宋体" w:cs="宋体"/>
          <w:sz w:val="24"/>
        </w:rPr>
        <w:t>法人代表：                          法人代表：</w:t>
      </w:r>
    </w:p>
    <w:p>
      <w:pPr>
        <w:spacing w:line="360" w:lineRule="auto"/>
        <w:rPr>
          <w:rFonts w:ascii="宋体" w:hAnsi="宋体" w:cs="宋体"/>
          <w:sz w:val="24"/>
        </w:rPr>
      </w:pPr>
      <w:r>
        <w:rPr>
          <w:rFonts w:hint="eastAsia" w:ascii="宋体" w:hAnsi="宋体" w:cs="宋体"/>
          <w:sz w:val="24"/>
        </w:rPr>
        <w:t>委托代理人：                        委托代理人：</w:t>
      </w:r>
    </w:p>
    <w:p>
      <w:pPr>
        <w:spacing w:line="360" w:lineRule="auto"/>
        <w:rPr>
          <w:rFonts w:ascii="宋体" w:hAnsi="宋体" w:cs="宋体"/>
          <w:sz w:val="24"/>
        </w:rPr>
      </w:pPr>
      <w:r>
        <w:rPr>
          <w:rFonts w:hint="eastAsia" w:ascii="宋体" w:hAnsi="宋体" w:cs="宋体"/>
          <w:sz w:val="24"/>
        </w:rPr>
        <w:t>地址：                              地址：</w:t>
      </w:r>
    </w:p>
    <w:p>
      <w:pPr>
        <w:spacing w:line="360" w:lineRule="auto"/>
        <w:rPr>
          <w:rFonts w:ascii="宋体" w:hAnsi="宋体" w:cs="宋体"/>
          <w:sz w:val="24"/>
        </w:rPr>
      </w:pPr>
      <w:r>
        <w:rPr>
          <w:rFonts w:hint="eastAsia" w:ascii="宋体" w:hAnsi="宋体" w:cs="宋体"/>
          <w:sz w:val="24"/>
        </w:rPr>
        <w:t>电话：                              电话：</w:t>
      </w:r>
    </w:p>
    <w:p>
      <w:pPr>
        <w:spacing w:line="360" w:lineRule="auto"/>
        <w:rPr>
          <w:rFonts w:ascii="宋体" w:hAnsi="宋体" w:cs="宋体"/>
          <w:sz w:val="24"/>
        </w:rPr>
      </w:pPr>
      <w:r>
        <w:rPr>
          <w:rFonts w:hint="eastAsia" w:ascii="宋体" w:hAnsi="宋体" w:cs="宋体"/>
          <w:sz w:val="24"/>
        </w:rPr>
        <w:t>开户行：                            开户行：</w:t>
      </w:r>
    </w:p>
    <w:p>
      <w:pPr>
        <w:spacing w:line="360" w:lineRule="auto"/>
        <w:rPr>
          <w:rFonts w:ascii="宋体" w:hAnsi="宋体" w:cs="宋体"/>
          <w:sz w:val="24"/>
        </w:rPr>
      </w:pPr>
      <w:r>
        <w:rPr>
          <w:rFonts w:hint="eastAsia" w:ascii="宋体" w:hAnsi="宋体" w:cs="宋体"/>
          <w:sz w:val="24"/>
        </w:rPr>
        <w:t>帐号：                              帐号：</w:t>
      </w:r>
    </w:p>
    <w:p>
      <w:pPr>
        <w:tabs>
          <w:tab w:val="left" w:pos="0"/>
        </w:tabs>
        <w:spacing w:line="360" w:lineRule="auto"/>
        <w:rPr>
          <w:rFonts w:ascii="宋体" w:hAnsi="宋体" w:cs="宋体"/>
          <w:sz w:val="28"/>
          <w:szCs w:val="28"/>
        </w:rPr>
      </w:pPr>
      <w:r>
        <w:rPr>
          <w:rFonts w:hint="eastAsia" w:ascii="宋体" w:hAnsi="宋体" w:cs="宋体"/>
          <w:sz w:val="24"/>
        </w:rPr>
        <w:t>年月日                              年月日</w:t>
      </w:r>
    </w:p>
    <w:p>
      <w:pPr>
        <w:pStyle w:val="34"/>
        <w:wordWrap w:val="0"/>
        <w:ind w:firstLine="602"/>
        <w:jc w:val="center"/>
        <w:rPr>
          <w:rFonts w:ascii="宋体" w:hAnsi="宋体" w:cs="宋体"/>
          <w:sz w:val="24"/>
        </w:rPr>
      </w:pPr>
      <w:r>
        <w:rPr>
          <w:rFonts w:hint="eastAsia" w:ascii="宋体" w:hAnsi="宋体" w:cs="宋体"/>
          <w:b w:val="0"/>
          <w:sz w:val="30"/>
          <w:szCs w:val="32"/>
        </w:rPr>
        <w:br w:type="page"/>
      </w:r>
      <w:r>
        <w:rPr>
          <w:rFonts w:hint="eastAsia" w:ascii="宋体" w:hAnsi="宋体" w:cs="宋体"/>
          <w:sz w:val="24"/>
        </w:rPr>
        <w:t>合同附件：</w:t>
      </w:r>
    </w:p>
    <w:p>
      <w:pPr>
        <w:wordWrap w:val="0"/>
        <w:spacing w:line="360" w:lineRule="auto"/>
        <w:jc w:val="left"/>
        <w:rPr>
          <w:rFonts w:ascii="宋体" w:hAnsi="宋体" w:cs="宋体"/>
          <w:sz w:val="24"/>
        </w:rPr>
      </w:pPr>
      <w:r>
        <w:rPr>
          <w:rFonts w:hint="eastAsia" w:ascii="宋体" w:hAnsi="宋体" w:cs="宋体"/>
          <w:sz w:val="24"/>
        </w:rPr>
        <w:t>附件1：工程质量保修书</w:t>
      </w:r>
    </w:p>
    <w:p>
      <w:pPr>
        <w:wordWrap w:val="0"/>
        <w:spacing w:line="360" w:lineRule="auto"/>
        <w:jc w:val="left"/>
        <w:rPr>
          <w:rFonts w:ascii="宋体" w:hAnsi="宋体" w:cs="宋体"/>
          <w:sz w:val="24"/>
        </w:rPr>
      </w:pPr>
      <w:r>
        <w:rPr>
          <w:rFonts w:hint="eastAsia" w:ascii="宋体" w:hAnsi="宋体" w:cs="宋体"/>
          <w:sz w:val="24"/>
        </w:rPr>
        <w:t>附件2：分包人主要项目管理人员表</w:t>
      </w:r>
    </w:p>
    <w:p>
      <w:pPr>
        <w:wordWrap w:val="0"/>
        <w:spacing w:line="360" w:lineRule="auto"/>
        <w:jc w:val="left"/>
        <w:rPr>
          <w:rFonts w:ascii="宋体" w:hAnsi="宋体" w:cs="宋体"/>
          <w:sz w:val="24"/>
        </w:rPr>
      </w:pPr>
      <w:r>
        <w:rPr>
          <w:rFonts w:hint="eastAsia" w:ascii="宋体" w:hAnsi="宋体" w:cs="宋体"/>
          <w:sz w:val="24"/>
        </w:rPr>
        <w:t>附件3：廉洁协议</w:t>
      </w:r>
    </w:p>
    <w:p>
      <w:pPr>
        <w:wordWrap w:val="0"/>
        <w:spacing w:line="360" w:lineRule="auto"/>
        <w:jc w:val="left"/>
        <w:rPr>
          <w:rFonts w:ascii="宋体" w:hAnsi="宋体" w:cs="宋体"/>
          <w:sz w:val="24"/>
        </w:rPr>
      </w:pPr>
      <w:r>
        <w:rPr>
          <w:rFonts w:hint="eastAsia" w:ascii="宋体" w:hAnsi="宋体" w:cs="宋体"/>
          <w:sz w:val="24"/>
        </w:rPr>
        <w:t>附件4：安全生产协议</w:t>
      </w:r>
    </w:p>
    <w:p>
      <w:pPr>
        <w:wordWrap w:val="0"/>
        <w:spacing w:line="360" w:lineRule="auto"/>
        <w:jc w:val="left"/>
        <w:rPr>
          <w:rFonts w:ascii="宋体" w:hAnsi="宋体" w:cs="宋体"/>
          <w:sz w:val="30"/>
          <w:szCs w:val="32"/>
        </w:rPr>
        <w:sectPr>
          <w:pgSz w:w="11906" w:h="16838"/>
          <w:pgMar w:top="1418" w:right="1555" w:bottom="1418" w:left="1531" w:header="851" w:footer="992" w:gutter="0"/>
          <w:cols w:space="720" w:num="1"/>
          <w:docGrid w:type="lines" w:linePitch="312" w:charSpace="0"/>
        </w:sectPr>
      </w:pPr>
    </w:p>
    <w:p>
      <w:pPr>
        <w:wordWrap w:val="0"/>
        <w:spacing w:line="440" w:lineRule="exact"/>
        <w:rPr>
          <w:rFonts w:ascii="宋体" w:hAnsi="宋体" w:cs="宋体"/>
          <w:sz w:val="30"/>
          <w:szCs w:val="30"/>
        </w:rPr>
      </w:pPr>
      <w:r>
        <w:rPr>
          <w:rFonts w:hint="eastAsia" w:ascii="宋体" w:hAnsi="宋体" w:cs="宋体"/>
          <w:sz w:val="30"/>
          <w:szCs w:val="30"/>
        </w:rPr>
        <w:t>附</w:t>
      </w:r>
      <w:bookmarkStart w:id="343" w:name="_Toc296347225"/>
      <w:bookmarkStart w:id="344" w:name="_Toc296891054"/>
      <w:bookmarkStart w:id="345" w:name="_Toc296944565"/>
      <w:bookmarkStart w:id="346" w:name="_Toc267261693"/>
      <w:bookmarkStart w:id="347" w:name="_Toc296891266"/>
      <w:bookmarkStart w:id="348" w:name="_Toc296503226"/>
      <w:bookmarkStart w:id="349" w:name="_Toc296346727"/>
      <w:r>
        <w:rPr>
          <w:rFonts w:hint="eastAsia" w:ascii="宋体" w:hAnsi="宋体" w:cs="宋体"/>
          <w:sz w:val="30"/>
          <w:szCs w:val="30"/>
        </w:rPr>
        <w:t>件1：</w:t>
      </w:r>
      <w:bookmarkEnd w:id="343"/>
      <w:bookmarkEnd w:id="344"/>
      <w:bookmarkEnd w:id="345"/>
      <w:bookmarkEnd w:id="346"/>
      <w:bookmarkEnd w:id="347"/>
      <w:bookmarkEnd w:id="348"/>
      <w:bookmarkEnd w:id="349"/>
    </w:p>
    <w:p>
      <w:pPr>
        <w:wordWrap w:val="0"/>
        <w:spacing w:before="120" w:beforeLines="50" w:after="120" w:afterLines="50" w:line="440" w:lineRule="exact"/>
        <w:jc w:val="center"/>
        <w:rPr>
          <w:rFonts w:ascii="宋体" w:hAnsi="宋体" w:cs="宋体"/>
          <w:sz w:val="30"/>
          <w:szCs w:val="30"/>
        </w:rPr>
      </w:pPr>
      <w:r>
        <w:rPr>
          <w:rFonts w:hint="eastAsia" w:ascii="宋体" w:hAnsi="宋体" w:cs="宋体"/>
          <w:sz w:val="30"/>
          <w:szCs w:val="30"/>
        </w:rPr>
        <w:t>工程质量保修书</w:t>
      </w:r>
    </w:p>
    <w:p>
      <w:pPr>
        <w:wordWrap w:val="0"/>
        <w:spacing w:line="440" w:lineRule="exact"/>
        <w:rPr>
          <w:rFonts w:ascii="宋体" w:hAnsi="宋体" w:cs="宋体"/>
          <w:sz w:val="30"/>
          <w:szCs w:val="30"/>
        </w:rPr>
      </w:pPr>
      <w:r>
        <w:rPr>
          <w:rFonts w:hint="eastAsia" w:ascii="宋体" w:hAnsi="宋体" w:cs="宋体"/>
          <w:sz w:val="30"/>
          <w:szCs w:val="30"/>
        </w:rPr>
        <w:t>承包人（全称）：</w:t>
      </w:r>
      <w:r>
        <w:rPr>
          <w:rFonts w:hint="eastAsia" w:ascii="宋体" w:hAnsi="宋体" w:cs="宋体"/>
          <w:sz w:val="30"/>
          <w:szCs w:val="30"/>
          <w:u w:val="single"/>
        </w:rPr>
        <w:t>中机中联工程有限公司</w:t>
      </w:r>
    </w:p>
    <w:p>
      <w:pPr>
        <w:wordWrap w:val="0"/>
        <w:spacing w:line="440" w:lineRule="exact"/>
        <w:rPr>
          <w:rFonts w:ascii="宋体" w:hAnsi="宋体" w:cs="宋体"/>
          <w:sz w:val="30"/>
          <w:szCs w:val="30"/>
        </w:rPr>
      </w:pPr>
      <w:r>
        <w:rPr>
          <w:rFonts w:hint="eastAsia" w:ascii="宋体" w:hAnsi="宋体" w:cs="宋体"/>
          <w:sz w:val="30"/>
          <w:szCs w:val="30"/>
        </w:rPr>
        <w:t>分包人（全称）：</w:t>
      </w:r>
    </w:p>
    <w:p>
      <w:pPr>
        <w:wordWrap w:val="0"/>
        <w:spacing w:line="360" w:lineRule="auto"/>
        <w:rPr>
          <w:rFonts w:ascii="宋体" w:hAnsi="宋体" w:cs="宋体"/>
          <w:sz w:val="30"/>
          <w:szCs w:val="30"/>
        </w:rPr>
      </w:pPr>
      <w:r>
        <w:rPr>
          <w:rFonts w:hint="eastAsia" w:ascii="宋体" w:hAnsi="宋体" w:cs="宋体"/>
          <w:sz w:val="30"/>
          <w:szCs w:val="30"/>
        </w:rPr>
        <w:t>　　承包人和分包人根据《中华人民共和国建筑法》和《建设工程质量管理条例》，经协商一致就</w:t>
      </w:r>
      <w:r>
        <w:rPr>
          <w:rFonts w:hint="eastAsia" w:ascii="宋体" w:hAnsi="宋体" w:cs="宋体"/>
          <w:sz w:val="30"/>
          <w:szCs w:val="30"/>
          <w:u w:val="single"/>
        </w:rPr>
        <w:t>安博重庆空港物流中心项目II期工程-栏杆及楼梯采购</w:t>
      </w:r>
      <w:r>
        <w:rPr>
          <w:rFonts w:hint="eastAsia" w:ascii="宋体" w:hAnsi="宋体" w:cs="宋体"/>
          <w:sz w:val="30"/>
          <w:szCs w:val="30"/>
        </w:rPr>
        <w:t>签订工程质量保修书。</w:t>
      </w:r>
    </w:p>
    <w:p>
      <w:pPr>
        <w:wordWrap w:val="0"/>
        <w:spacing w:line="360" w:lineRule="auto"/>
        <w:rPr>
          <w:rFonts w:ascii="宋体" w:hAnsi="宋体" w:cs="宋体"/>
          <w:sz w:val="30"/>
          <w:szCs w:val="30"/>
        </w:rPr>
      </w:pPr>
      <w:r>
        <w:rPr>
          <w:rFonts w:hint="eastAsia" w:ascii="宋体" w:hAnsi="宋体" w:cs="宋体"/>
          <w:sz w:val="30"/>
          <w:szCs w:val="30"/>
        </w:rPr>
        <w:t>　　一、工程质量保修范围和内容</w:t>
      </w:r>
    </w:p>
    <w:p>
      <w:pPr>
        <w:wordWrap w:val="0"/>
        <w:spacing w:line="360" w:lineRule="auto"/>
        <w:rPr>
          <w:rFonts w:ascii="宋体" w:hAnsi="宋体" w:cs="宋体"/>
          <w:sz w:val="30"/>
          <w:szCs w:val="30"/>
        </w:rPr>
      </w:pPr>
      <w:r>
        <w:rPr>
          <w:rFonts w:hint="eastAsia" w:ascii="宋体" w:hAnsi="宋体" w:cs="宋体"/>
          <w:sz w:val="30"/>
          <w:szCs w:val="30"/>
        </w:rPr>
        <w:t>　　分包人在保修期内，按照有关法律规定和合同约定，承担工程质量保修责任。</w:t>
      </w:r>
    </w:p>
    <w:p>
      <w:pPr>
        <w:wordWrap w:val="0"/>
        <w:spacing w:line="360" w:lineRule="auto"/>
        <w:rPr>
          <w:rFonts w:ascii="宋体" w:hAnsi="宋体" w:cs="宋体"/>
          <w:sz w:val="30"/>
          <w:szCs w:val="30"/>
        </w:rPr>
      </w:pPr>
      <w:r>
        <w:rPr>
          <w:rFonts w:hint="eastAsia" w:ascii="宋体" w:hAnsi="宋体" w:cs="宋体"/>
          <w:sz w:val="30"/>
          <w:szCs w:val="30"/>
        </w:rPr>
        <w:t>　　质量保修范围和内容：</w:t>
      </w:r>
      <w:r>
        <w:rPr>
          <w:rFonts w:hint="eastAsia" w:ascii="宋体" w:hAnsi="宋体" w:cs="宋体"/>
          <w:sz w:val="30"/>
          <w:szCs w:val="30"/>
          <w:u w:val="single"/>
        </w:rPr>
        <w:t>分包人完成的全部工作内容</w:t>
      </w:r>
      <w:r>
        <w:rPr>
          <w:rFonts w:hint="eastAsia" w:ascii="宋体" w:hAnsi="宋体" w:cs="宋体"/>
          <w:sz w:val="30"/>
          <w:szCs w:val="30"/>
        </w:rPr>
        <w:t>。</w:t>
      </w:r>
    </w:p>
    <w:p>
      <w:pPr>
        <w:wordWrap w:val="0"/>
        <w:spacing w:line="360" w:lineRule="auto"/>
        <w:rPr>
          <w:rFonts w:ascii="宋体" w:hAnsi="宋体" w:cs="宋体"/>
          <w:sz w:val="30"/>
          <w:szCs w:val="30"/>
        </w:rPr>
      </w:pPr>
      <w:r>
        <w:rPr>
          <w:rFonts w:hint="eastAsia" w:ascii="宋体" w:hAnsi="宋体" w:cs="宋体"/>
          <w:b/>
          <w:sz w:val="30"/>
          <w:szCs w:val="30"/>
        </w:rPr>
        <w:t>　　</w:t>
      </w:r>
      <w:r>
        <w:rPr>
          <w:rFonts w:hint="eastAsia" w:ascii="宋体" w:hAnsi="宋体" w:cs="宋体"/>
          <w:sz w:val="30"/>
          <w:szCs w:val="30"/>
        </w:rPr>
        <w:t>二、保修期</w:t>
      </w:r>
    </w:p>
    <w:p>
      <w:pPr>
        <w:wordWrap w:val="0"/>
        <w:spacing w:line="360" w:lineRule="auto"/>
        <w:ind w:firstLine="600" w:firstLineChars="200"/>
        <w:rPr>
          <w:rFonts w:ascii="宋体" w:hAnsi="宋体" w:cs="宋体"/>
          <w:sz w:val="30"/>
          <w:szCs w:val="30"/>
          <w:u w:val="single"/>
        </w:rPr>
      </w:pPr>
      <w:r>
        <w:rPr>
          <w:rFonts w:hint="eastAsia" w:ascii="宋体" w:hAnsi="宋体" w:cs="宋体"/>
          <w:sz w:val="30"/>
          <w:szCs w:val="30"/>
        </w:rPr>
        <w:t>根据《建设工程质量管理条例》及有关规定，分包工程的保修期如下：</w:t>
      </w:r>
      <w:r>
        <w:rPr>
          <w:rFonts w:hint="eastAsia" w:ascii="宋体" w:hAnsi="宋体" w:cs="宋体"/>
          <w:sz w:val="30"/>
          <w:szCs w:val="30"/>
          <w:u w:val="single"/>
        </w:rPr>
        <w:t>2年</w:t>
      </w:r>
      <w:r>
        <w:rPr>
          <w:rFonts w:hint="eastAsia" w:ascii="宋体" w:hAnsi="宋体" w:cs="宋体"/>
          <w:sz w:val="30"/>
          <w:szCs w:val="30"/>
        </w:rPr>
        <w:t>。</w:t>
      </w:r>
    </w:p>
    <w:p>
      <w:pPr>
        <w:wordWrap w:val="0"/>
        <w:spacing w:line="360" w:lineRule="auto"/>
        <w:rPr>
          <w:rFonts w:ascii="宋体" w:hAnsi="宋体" w:cs="宋体"/>
          <w:sz w:val="30"/>
          <w:szCs w:val="30"/>
        </w:rPr>
      </w:pPr>
      <w:r>
        <w:rPr>
          <w:rFonts w:hint="eastAsia" w:ascii="宋体" w:hAnsi="宋体" w:cs="宋体"/>
          <w:sz w:val="30"/>
          <w:szCs w:val="30"/>
        </w:rPr>
        <w:t>　　保修期自</w:t>
      </w:r>
      <w:r>
        <w:rPr>
          <w:rFonts w:hint="eastAsia" w:ascii="宋体" w:hAnsi="宋体" w:cs="宋体"/>
          <w:sz w:val="30"/>
          <w:szCs w:val="30"/>
          <w:u w:val="single"/>
        </w:rPr>
        <w:t>安博重庆空港物流中心项目II期工程竣工验收合格之日</w:t>
      </w:r>
      <w:r>
        <w:rPr>
          <w:rFonts w:hint="eastAsia" w:ascii="宋体" w:hAnsi="宋体" w:cs="宋体"/>
          <w:sz w:val="30"/>
          <w:szCs w:val="30"/>
        </w:rPr>
        <w:t>起计算。</w:t>
      </w:r>
    </w:p>
    <w:p>
      <w:pPr>
        <w:wordWrap w:val="0"/>
        <w:spacing w:line="360" w:lineRule="auto"/>
        <w:ind w:firstLine="600" w:firstLineChars="200"/>
        <w:rPr>
          <w:rFonts w:ascii="宋体" w:hAnsi="宋体" w:cs="宋体"/>
          <w:sz w:val="30"/>
          <w:szCs w:val="30"/>
        </w:rPr>
      </w:pPr>
      <w:r>
        <w:rPr>
          <w:rFonts w:hint="eastAsia" w:ascii="宋体" w:hAnsi="宋体" w:cs="宋体"/>
          <w:sz w:val="30"/>
          <w:szCs w:val="30"/>
        </w:rPr>
        <w:t>三、缺陷责任期</w:t>
      </w:r>
    </w:p>
    <w:p>
      <w:pPr>
        <w:wordWrap w:val="0"/>
        <w:spacing w:line="360" w:lineRule="auto"/>
        <w:ind w:firstLine="600" w:firstLineChars="200"/>
        <w:rPr>
          <w:rFonts w:ascii="宋体" w:hAnsi="宋体" w:cs="宋体"/>
          <w:sz w:val="30"/>
          <w:szCs w:val="30"/>
        </w:rPr>
      </w:pPr>
      <w:r>
        <w:rPr>
          <w:rFonts w:hint="eastAsia" w:ascii="宋体" w:hAnsi="宋体" w:cs="宋体"/>
          <w:sz w:val="30"/>
          <w:szCs w:val="30"/>
        </w:rPr>
        <w:t>分包工程缺陷责任期为</w:t>
      </w:r>
      <w:r>
        <w:rPr>
          <w:rFonts w:hint="eastAsia" w:ascii="宋体" w:hAnsi="宋体" w:cs="宋体"/>
          <w:sz w:val="30"/>
          <w:szCs w:val="30"/>
          <w:u w:val="single"/>
        </w:rPr>
        <w:t>24</w:t>
      </w:r>
      <w:r>
        <w:rPr>
          <w:rFonts w:hint="eastAsia" w:ascii="宋体" w:hAnsi="宋体" w:cs="宋体"/>
          <w:sz w:val="30"/>
          <w:szCs w:val="30"/>
        </w:rPr>
        <w:t>个月，缺陷责任期自</w:t>
      </w:r>
      <w:r>
        <w:rPr>
          <w:rFonts w:hint="eastAsia" w:ascii="宋体" w:hAnsi="宋体" w:cs="宋体"/>
          <w:sz w:val="30"/>
          <w:szCs w:val="30"/>
          <w:u w:val="single"/>
        </w:rPr>
        <w:t>安博重庆空港物流中心项目II期工程项目竣工验收合格之日</w:t>
      </w:r>
      <w:r>
        <w:rPr>
          <w:rFonts w:hint="eastAsia" w:ascii="宋体" w:hAnsi="宋体" w:cs="宋体"/>
          <w:sz w:val="30"/>
          <w:szCs w:val="30"/>
        </w:rPr>
        <w:t>起计算。</w:t>
      </w:r>
    </w:p>
    <w:p>
      <w:pPr>
        <w:wordWrap w:val="0"/>
        <w:spacing w:line="360" w:lineRule="auto"/>
        <w:ind w:firstLine="600" w:firstLineChars="200"/>
        <w:rPr>
          <w:rFonts w:ascii="宋体" w:hAnsi="宋体" w:cs="宋体"/>
          <w:sz w:val="30"/>
          <w:szCs w:val="30"/>
        </w:rPr>
      </w:pPr>
      <w:r>
        <w:rPr>
          <w:rFonts w:hint="eastAsia" w:ascii="宋体" w:hAnsi="宋体" w:cs="宋体"/>
          <w:sz w:val="30"/>
          <w:szCs w:val="30"/>
        </w:rPr>
        <w:t>缺陷责任期终止后30日内，承包人应退还剩余的质量保证金，不计利息。</w:t>
      </w:r>
    </w:p>
    <w:p>
      <w:pPr>
        <w:wordWrap w:val="0"/>
        <w:spacing w:line="360" w:lineRule="auto"/>
        <w:rPr>
          <w:rFonts w:ascii="宋体" w:hAnsi="宋体" w:cs="宋体"/>
          <w:sz w:val="30"/>
          <w:szCs w:val="30"/>
        </w:rPr>
      </w:pPr>
      <w:r>
        <w:rPr>
          <w:rFonts w:hint="eastAsia" w:ascii="宋体" w:hAnsi="宋体" w:cs="宋体"/>
          <w:sz w:val="30"/>
          <w:szCs w:val="30"/>
        </w:rPr>
        <w:t>四、质量保修责任</w:t>
      </w:r>
    </w:p>
    <w:p>
      <w:pPr>
        <w:wordWrap w:val="0"/>
        <w:spacing w:line="360" w:lineRule="auto"/>
        <w:ind w:left="105" w:leftChars="50" w:firstLine="615" w:firstLineChars="205"/>
        <w:rPr>
          <w:rFonts w:ascii="宋体" w:hAnsi="宋体" w:cs="宋体"/>
          <w:sz w:val="30"/>
          <w:szCs w:val="30"/>
        </w:rPr>
      </w:pPr>
      <w:r>
        <w:rPr>
          <w:rFonts w:hint="eastAsia" w:ascii="宋体" w:hAnsi="宋体" w:cs="宋体"/>
          <w:sz w:val="30"/>
          <w:szCs w:val="30"/>
        </w:rPr>
        <w:t>1．属于保修范围、内容的项目，分包人应当在接到保修通知之日起3天内派人保修。分包人不在约定期限内派人保修的，承包人可以委托他人修理。</w:t>
      </w:r>
    </w:p>
    <w:p>
      <w:pPr>
        <w:wordWrap w:val="0"/>
        <w:spacing w:line="360" w:lineRule="auto"/>
        <w:ind w:left="105" w:leftChars="50" w:firstLine="615" w:firstLineChars="205"/>
        <w:rPr>
          <w:rFonts w:ascii="宋体" w:hAnsi="宋体" w:cs="宋体"/>
          <w:sz w:val="30"/>
          <w:szCs w:val="30"/>
        </w:rPr>
      </w:pPr>
      <w:r>
        <w:rPr>
          <w:rFonts w:hint="eastAsia" w:ascii="宋体" w:hAnsi="宋体" w:cs="宋体"/>
          <w:sz w:val="30"/>
          <w:szCs w:val="30"/>
        </w:rPr>
        <w:t>2．发生紧急事故需抢修的，分包人在接到事故通知后，应当立即到达事故现场抢修。</w:t>
      </w:r>
    </w:p>
    <w:p>
      <w:pPr>
        <w:wordWrap w:val="0"/>
        <w:spacing w:line="360" w:lineRule="auto"/>
        <w:ind w:left="105" w:leftChars="50" w:firstLine="615" w:firstLineChars="205"/>
        <w:rPr>
          <w:rFonts w:ascii="宋体" w:hAnsi="宋体" w:cs="宋体"/>
          <w:sz w:val="30"/>
          <w:szCs w:val="30"/>
        </w:rPr>
      </w:pPr>
      <w:r>
        <w:rPr>
          <w:rFonts w:hint="eastAsia" w:ascii="宋体" w:hAnsi="宋体" w:cs="宋体"/>
          <w:sz w:val="30"/>
          <w:szCs w:val="30"/>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pPr>
        <w:wordWrap w:val="0"/>
        <w:spacing w:line="360" w:lineRule="auto"/>
        <w:ind w:left="420" w:leftChars="200" w:firstLine="150" w:firstLineChars="50"/>
        <w:rPr>
          <w:rFonts w:ascii="宋体" w:hAnsi="宋体" w:cs="宋体"/>
          <w:sz w:val="30"/>
          <w:szCs w:val="30"/>
        </w:rPr>
      </w:pPr>
      <w:r>
        <w:rPr>
          <w:rFonts w:hint="eastAsia" w:ascii="宋体" w:hAnsi="宋体" w:cs="宋体"/>
          <w:sz w:val="30"/>
          <w:szCs w:val="30"/>
        </w:rPr>
        <w:t>4．质量保修完成后，由承包人组织验收。</w:t>
      </w:r>
    </w:p>
    <w:p>
      <w:pPr>
        <w:wordWrap w:val="0"/>
        <w:spacing w:line="360" w:lineRule="auto"/>
        <w:rPr>
          <w:rFonts w:ascii="宋体" w:hAnsi="宋体" w:cs="宋体"/>
          <w:sz w:val="30"/>
          <w:szCs w:val="30"/>
        </w:rPr>
      </w:pPr>
      <w:r>
        <w:rPr>
          <w:rFonts w:hint="eastAsia" w:ascii="宋体" w:hAnsi="宋体" w:cs="宋体"/>
          <w:sz w:val="30"/>
          <w:szCs w:val="30"/>
        </w:rPr>
        <w:t>　　五、保修费用</w:t>
      </w:r>
    </w:p>
    <w:p>
      <w:pPr>
        <w:wordWrap w:val="0"/>
        <w:spacing w:line="360" w:lineRule="auto"/>
        <w:rPr>
          <w:rFonts w:ascii="宋体" w:hAnsi="宋体" w:cs="宋体"/>
          <w:sz w:val="30"/>
          <w:szCs w:val="30"/>
        </w:rPr>
      </w:pPr>
      <w:r>
        <w:rPr>
          <w:rFonts w:hint="eastAsia" w:ascii="宋体" w:hAnsi="宋体" w:cs="宋体"/>
          <w:sz w:val="30"/>
          <w:szCs w:val="30"/>
        </w:rPr>
        <w:t>　　保修费用由造成质量缺陷的责任方承担。</w:t>
      </w:r>
    </w:p>
    <w:p>
      <w:pPr>
        <w:wordWrap w:val="0"/>
        <w:spacing w:line="360" w:lineRule="auto"/>
        <w:ind w:firstLine="600" w:firstLineChars="200"/>
        <w:rPr>
          <w:rFonts w:ascii="宋体" w:hAnsi="宋体" w:cs="宋体"/>
          <w:sz w:val="30"/>
          <w:szCs w:val="30"/>
        </w:rPr>
      </w:pPr>
      <w:r>
        <w:rPr>
          <w:rFonts w:hint="eastAsia" w:ascii="宋体" w:hAnsi="宋体" w:cs="宋体"/>
          <w:sz w:val="30"/>
          <w:szCs w:val="30"/>
        </w:rPr>
        <w:t>六、双方约定的其他工程质量保修事项：</w:t>
      </w:r>
      <w:r>
        <w:rPr>
          <w:rFonts w:hint="eastAsia" w:ascii="宋体" w:hAnsi="宋体" w:cs="宋体"/>
          <w:sz w:val="30"/>
          <w:szCs w:val="30"/>
          <w:u w:val="single"/>
        </w:rPr>
        <w:t>无</w:t>
      </w:r>
      <w:r>
        <w:rPr>
          <w:rFonts w:hint="eastAsia" w:ascii="宋体" w:hAnsi="宋体" w:cs="宋体"/>
          <w:sz w:val="30"/>
          <w:szCs w:val="30"/>
        </w:rPr>
        <w:t>。</w:t>
      </w:r>
    </w:p>
    <w:p>
      <w:pPr>
        <w:wordWrap w:val="0"/>
        <w:spacing w:line="360" w:lineRule="auto"/>
        <w:ind w:firstLine="570" w:firstLineChars="190"/>
        <w:rPr>
          <w:rFonts w:ascii="宋体" w:hAnsi="宋体" w:cs="宋体"/>
          <w:sz w:val="30"/>
          <w:szCs w:val="30"/>
        </w:rPr>
      </w:pPr>
      <w:r>
        <w:rPr>
          <w:rFonts w:hint="eastAsia" w:ascii="宋体" w:hAnsi="宋体" w:cs="宋体"/>
          <w:sz w:val="30"/>
          <w:szCs w:val="30"/>
        </w:rPr>
        <w:t>工程质量保修书由承包人、分包人在工程完工验收前共同签署，作为分包合同的附件，其有效期限至保修期满。</w:t>
      </w:r>
    </w:p>
    <w:p>
      <w:pPr>
        <w:wordWrap w:val="0"/>
        <w:spacing w:line="360" w:lineRule="auto"/>
        <w:rPr>
          <w:rFonts w:ascii="宋体" w:hAnsi="宋体" w:cs="宋体"/>
          <w:sz w:val="30"/>
          <w:szCs w:val="30"/>
        </w:rPr>
      </w:pPr>
    </w:p>
    <w:p>
      <w:pPr>
        <w:wordWrap w:val="0"/>
        <w:spacing w:line="360" w:lineRule="auto"/>
        <w:rPr>
          <w:rFonts w:ascii="宋体" w:hAnsi="宋体" w:cs="宋体"/>
          <w:sz w:val="30"/>
          <w:szCs w:val="30"/>
        </w:rPr>
      </w:pPr>
      <w:r>
        <w:rPr>
          <w:rFonts w:hint="eastAsia" w:ascii="宋体" w:hAnsi="宋体" w:cs="宋体"/>
          <w:sz w:val="30"/>
          <w:szCs w:val="30"/>
        </w:rPr>
        <w:t>承包人(公章)：</w:t>
      </w:r>
      <w:r>
        <w:rPr>
          <w:rFonts w:hint="eastAsia" w:ascii="宋体" w:hAnsi="宋体" w:cs="宋体"/>
          <w:sz w:val="30"/>
          <w:szCs w:val="30"/>
          <w:u w:val="single"/>
        </w:rPr>
        <w:t xml:space="preserve">        </w:t>
      </w:r>
      <w:r>
        <w:rPr>
          <w:rFonts w:hint="eastAsia" w:ascii="宋体" w:hAnsi="宋体" w:cs="宋体"/>
          <w:sz w:val="30"/>
          <w:szCs w:val="30"/>
        </w:rPr>
        <w:t>分包人(公章)：</w:t>
      </w:r>
      <w:r>
        <w:rPr>
          <w:rFonts w:hint="eastAsia" w:ascii="宋体" w:hAnsi="宋体" w:cs="宋体"/>
          <w:sz w:val="30"/>
          <w:szCs w:val="30"/>
          <w:u w:val="single"/>
        </w:rPr>
        <w:t xml:space="preserve">           </w:t>
      </w:r>
    </w:p>
    <w:p>
      <w:pPr>
        <w:wordWrap w:val="0"/>
        <w:spacing w:line="360" w:lineRule="auto"/>
        <w:rPr>
          <w:rFonts w:ascii="宋体" w:hAnsi="宋体" w:cs="宋体"/>
          <w:sz w:val="30"/>
          <w:szCs w:val="30"/>
        </w:rPr>
      </w:pPr>
      <w:r>
        <w:rPr>
          <w:rFonts w:hint="eastAsia" w:ascii="宋体" w:hAnsi="宋体" w:cs="宋体"/>
          <w:sz w:val="30"/>
          <w:szCs w:val="30"/>
        </w:rPr>
        <w:t>地址：</w:t>
      </w:r>
      <w:r>
        <w:rPr>
          <w:rFonts w:hint="eastAsia" w:ascii="宋体" w:hAnsi="宋体" w:cs="宋体"/>
          <w:sz w:val="30"/>
          <w:szCs w:val="30"/>
          <w:u w:val="single"/>
        </w:rPr>
        <w:t xml:space="preserve">     </w:t>
      </w:r>
      <w:r>
        <w:rPr>
          <w:rFonts w:hint="eastAsia" w:ascii="宋体" w:hAnsi="宋体" w:cs="宋体"/>
          <w:sz w:val="30"/>
          <w:szCs w:val="30"/>
        </w:rPr>
        <w:t>地址：</w:t>
      </w:r>
      <w:r>
        <w:rPr>
          <w:rFonts w:hint="eastAsia" w:ascii="宋体" w:hAnsi="宋体" w:cs="宋体"/>
          <w:sz w:val="30"/>
          <w:szCs w:val="30"/>
          <w:u w:val="single"/>
        </w:rPr>
        <w:t xml:space="preserve">       </w:t>
      </w:r>
    </w:p>
    <w:p>
      <w:pPr>
        <w:wordWrap w:val="0"/>
        <w:spacing w:line="360" w:lineRule="auto"/>
        <w:rPr>
          <w:rFonts w:ascii="宋体" w:hAnsi="宋体" w:cs="宋体"/>
          <w:sz w:val="30"/>
          <w:szCs w:val="30"/>
        </w:rPr>
      </w:pPr>
      <w:r>
        <w:rPr>
          <w:rFonts w:hint="eastAsia" w:ascii="宋体" w:hAnsi="宋体" w:cs="宋体"/>
          <w:sz w:val="30"/>
          <w:szCs w:val="30"/>
        </w:rPr>
        <w:t>法定代表人(签字)：</w:t>
      </w:r>
      <w:r>
        <w:rPr>
          <w:rFonts w:hint="eastAsia" w:ascii="宋体" w:hAnsi="宋体" w:cs="宋体"/>
          <w:sz w:val="30"/>
          <w:szCs w:val="30"/>
          <w:u w:val="single"/>
        </w:rPr>
        <w:t xml:space="preserve">      </w:t>
      </w:r>
      <w:r>
        <w:rPr>
          <w:rFonts w:hint="eastAsia" w:ascii="宋体" w:hAnsi="宋体" w:cs="宋体"/>
          <w:sz w:val="30"/>
          <w:szCs w:val="30"/>
        </w:rPr>
        <w:t>法定代表人(签字)：</w:t>
      </w:r>
      <w:r>
        <w:rPr>
          <w:rFonts w:hint="eastAsia" w:ascii="宋体" w:hAnsi="宋体" w:cs="宋体"/>
          <w:sz w:val="30"/>
          <w:szCs w:val="30"/>
          <w:u w:val="single"/>
        </w:rPr>
        <w:t xml:space="preserve">       </w:t>
      </w:r>
    </w:p>
    <w:p>
      <w:pPr>
        <w:wordWrap w:val="0"/>
        <w:spacing w:line="360" w:lineRule="auto"/>
        <w:rPr>
          <w:rFonts w:ascii="宋体" w:hAnsi="宋体" w:cs="宋体"/>
          <w:sz w:val="30"/>
          <w:szCs w:val="30"/>
        </w:rPr>
      </w:pPr>
      <w:r>
        <w:rPr>
          <w:rFonts w:hint="eastAsia" w:ascii="宋体" w:hAnsi="宋体" w:cs="宋体"/>
          <w:sz w:val="30"/>
          <w:szCs w:val="30"/>
        </w:rPr>
        <w:t>委托代理人(签字)：</w:t>
      </w:r>
      <w:r>
        <w:rPr>
          <w:rFonts w:hint="eastAsia" w:ascii="宋体" w:hAnsi="宋体" w:cs="宋体"/>
          <w:sz w:val="30"/>
          <w:szCs w:val="30"/>
          <w:u w:val="single"/>
        </w:rPr>
        <w:t xml:space="preserve">      </w:t>
      </w:r>
      <w:r>
        <w:rPr>
          <w:rFonts w:hint="eastAsia" w:ascii="宋体" w:hAnsi="宋体" w:cs="宋体"/>
          <w:sz w:val="30"/>
          <w:szCs w:val="30"/>
        </w:rPr>
        <w:t>委托代理人(签字)：</w:t>
      </w:r>
      <w:r>
        <w:rPr>
          <w:rFonts w:hint="eastAsia" w:ascii="宋体" w:hAnsi="宋体" w:cs="宋体"/>
          <w:sz w:val="30"/>
          <w:szCs w:val="30"/>
          <w:u w:val="single"/>
        </w:rPr>
        <w:t xml:space="preserve">       </w:t>
      </w:r>
    </w:p>
    <w:p>
      <w:pPr>
        <w:wordWrap w:val="0"/>
        <w:spacing w:line="360" w:lineRule="auto"/>
        <w:rPr>
          <w:rFonts w:ascii="宋体" w:hAnsi="宋体" w:cs="宋体"/>
          <w:sz w:val="30"/>
          <w:szCs w:val="30"/>
        </w:rPr>
      </w:pPr>
      <w:r>
        <w:rPr>
          <w:rFonts w:hint="eastAsia" w:ascii="宋体" w:hAnsi="宋体" w:cs="宋体"/>
          <w:sz w:val="30"/>
          <w:szCs w:val="30"/>
        </w:rPr>
        <w:t>电话：</w:t>
      </w:r>
      <w:r>
        <w:rPr>
          <w:rFonts w:hint="eastAsia" w:ascii="宋体" w:hAnsi="宋体" w:cs="宋体"/>
          <w:sz w:val="30"/>
          <w:szCs w:val="30"/>
          <w:u w:val="single"/>
        </w:rPr>
        <w:t xml:space="preserve">   </w:t>
      </w:r>
      <w:r>
        <w:rPr>
          <w:rFonts w:hint="eastAsia" w:ascii="宋体" w:hAnsi="宋体" w:cs="宋体"/>
          <w:sz w:val="30"/>
          <w:szCs w:val="30"/>
        </w:rPr>
        <w:t>电话：</w:t>
      </w:r>
      <w:r>
        <w:rPr>
          <w:rFonts w:hint="eastAsia" w:ascii="宋体" w:hAnsi="宋体" w:cs="宋体"/>
          <w:sz w:val="30"/>
          <w:szCs w:val="30"/>
          <w:u w:val="single"/>
        </w:rPr>
        <w:t xml:space="preserve">     </w:t>
      </w:r>
    </w:p>
    <w:p>
      <w:pPr>
        <w:wordWrap w:val="0"/>
        <w:spacing w:line="360" w:lineRule="auto"/>
        <w:rPr>
          <w:rFonts w:ascii="宋体" w:hAnsi="宋体" w:cs="宋体"/>
          <w:sz w:val="30"/>
          <w:szCs w:val="30"/>
        </w:rPr>
      </w:pPr>
      <w:r>
        <w:rPr>
          <w:rFonts w:hint="eastAsia" w:ascii="宋体" w:hAnsi="宋体" w:cs="宋体"/>
          <w:sz w:val="30"/>
          <w:szCs w:val="30"/>
        </w:rPr>
        <w:t>传真：</w:t>
      </w:r>
      <w:r>
        <w:rPr>
          <w:rFonts w:hint="eastAsia" w:ascii="宋体" w:hAnsi="宋体" w:cs="宋体"/>
          <w:sz w:val="30"/>
          <w:szCs w:val="30"/>
          <w:u w:val="single"/>
        </w:rPr>
        <w:t xml:space="preserve">    </w:t>
      </w:r>
      <w:r>
        <w:rPr>
          <w:rFonts w:hint="eastAsia" w:ascii="宋体" w:hAnsi="宋体" w:cs="宋体"/>
          <w:sz w:val="30"/>
          <w:szCs w:val="30"/>
        </w:rPr>
        <w:t>传真：</w:t>
      </w:r>
      <w:r>
        <w:rPr>
          <w:rFonts w:hint="eastAsia" w:ascii="宋体" w:hAnsi="宋体" w:cs="宋体"/>
          <w:sz w:val="30"/>
          <w:szCs w:val="30"/>
          <w:u w:val="single"/>
        </w:rPr>
        <w:t xml:space="preserve">     </w:t>
      </w:r>
    </w:p>
    <w:p>
      <w:pPr>
        <w:wordWrap w:val="0"/>
        <w:spacing w:line="360" w:lineRule="auto"/>
        <w:rPr>
          <w:rFonts w:ascii="宋体" w:hAnsi="宋体" w:cs="宋体"/>
          <w:sz w:val="30"/>
          <w:szCs w:val="30"/>
        </w:rPr>
      </w:pPr>
      <w:r>
        <w:rPr>
          <w:rFonts w:hint="eastAsia" w:ascii="宋体" w:hAnsi="宋体" w:cs="宋体"/>
          <w:sz w:val="30"/>
          <w:szCs w:val="30"/>
        </w:rPr>
        <w:t>开户银行：</w:t>
      </w:r>
      <w:r>
        <w:rPr>
          <w:rFonts w:hint="eastAsia" w:ascii="宋体" w:hAnsi="宋体" w:cs="宋体"/>
          <w:sz w:val="30"/>
          <w:szCs w:val="30"/>
          <w:u w:val="single"/>
        </w:rPr>
        <w:t xml:space="preserve">   </w:t>
      </w:r>
      <w:r>
        <w:rPr>
          <w:rFonts w:hint="eastAsia" w:ascii="宋体" w:hAnsi="宋体" w:cs="宋体"/>
          <w:sz w:val="30"/>
          <w:szCs w:val="30"/>
        </w:rPr>
        <w:t>开户银行：</w:t>
      </w:r>
      <w:r>
        <w:rPr>
          <w:rFonts w:hint="eastAsia" w:ascii="宋体" w:hAnsi="宋体" w:cs="宋体"/>
          <w:sz w:val="30"/>
          <w:szCs w:val="30"/>
          <w:u w:val="single"/>
        </w:rPr>
        <w:t xml:space="preserve">   </w:t>
      </w:r>
    </w:p>
    <w:p>
      <w:pPr>
        <w:wordWrap w:val="0"/>
        <w:spacing w:line="360" w:lineRule="auto"/>
        <w:rPr>
          <w:rFonts w:ascii="宋体" w:hAnsi="宋体" w:cs="宋体"/>
          <w:sz w:val="30"/>
          <w:szCs w:val="30"/>
        </w:rPr>
      </w:pPr>
      <w:r>
        <w:rPr>
          <w:rFonts w:hint="eastAsia" w:ascii="宋体" w:hAnsi="宋体" w:cs="宋体"/>
          <w:sz w:val="30"/>
          <w:szCs w:val="30"/>
        </w:rPr>
        <w:t>账号：</w:t>
      </w:r>
      <w:r>
        <w:rPr>
          <w:rFonts w:hint="eastAsia" w:ascii="宋体" w:hAnsi="宋体" w:cs="宋体"/>
          <w:sz w:val="30"/>
          <w:szCs w:val="30"/>
          <w:u w:val="single"/>
        </w:rPr>
        <w:t xml:space="preserve">       </w:t>
      </w:r>
      <w:r>
        <w:rPr>
          <w:rFonts w:hint="eastAsia" w:ascii="宋体" w:hAnsi="宋体" w:cs="宋体"/>
          <w:sz w:val="30"/>
          <w:szCs w:val="30"/>
        </w:rPr>
        <w:t>账号：</w:t>
      </w:r>
      <w:r>
        <w:rPr>
          <w:rFonts w:hint="eastAsia" w:ascii="宋体" w:hAnsi="宋体" w:cs="宋体"/>
          <w:sz w:val="30"/>
          <w:szCs w:val="30"/>
          <w:u w:val="single"/>
        </w:rPr>
        <w:t xml:space="preserve">     </w:t>
      </w:r>
    </w:p>
    <w:p>
      <w:pPr>
        <w:wordWrap w:val="0"/>
        <w:spacing w:line="440" w:lineRule="exact"/>
        <w:rPr>
          <w:rFonts w:ascii="宋体" w:hAnsi="宋体" w:cs="宋体"/>
          <w:sz w:val="30"/>
          <w:szCs w:val="30"/>
        </w:rPr>
      </w:pPr>
      <w:r>
        <w:rPr>
          <w:rFonts w:hint="eastAsia" w:ascii="宋体" w:hAnsi="宋体" w:cs="宋体"/>
          <w:sz w:val="30"/>
          <w:szCs w:val="30"/>
        </w:rPr>
        <w:t>邮政编码：</w:t>
      </w:r>
      <w:r>
        <w:rPr>
          <w:rFonts w:hint="eastAsia" w:ascii="宋体" w:hAnsi="宋体" w:cs="宋体"/>
          <w:sz w:val="30"/>
          <w:szCs w:val="30"/>
          <w:u w:val="single"/>
        </w:rPr>
        <w:t xml:space="preserve">     </w:t>
      </w:r>
      <w:r>
        <w:rPr>
          <w:rFonts w:hint="eastAsia" w:ascii="宋体" w:hAnsi="宋体" w:cs="宋体"/>
          <w:sz w:val="30"/>
          <w:szCs w:val="30"/>
        </w:rPr>
        <w:t>邮政编码：</w:t>
      </w:r>
      <w:r>
        <w:rPr>
          <w:rFonts w:hint="eastAsia" w:ascii="宋体" w:hAnsi="宋体" w:cs="宋体"/>
          <w:sz w:val="30"/>
          <w:szCs w:val="30"/>
          <w:u w:val="single"/>
        </w:rPr>
        <w:t xml:space="preserve">   </w:t>
      </w:r>
    </w:p>
    <w:p>
      <w:pPr>
        <w:wordWrap w:val="0"/>
        <w:spacing w:line="440" w:lineRule="exact"/>
        <w:rPr>
          <w:rFonts w:ascii="宋体" w:hAnsi="宋体" w:cs="宋体"/>
          <w:b/>
        </w:rPr>
      </w:pPr>
      <w:bookmarkStart w:id="350" w:name="_Toc267261701"/>
      <w:bookmarkEnd w:id="350"/>
    </w:p>
    <w:p>
      <w:pPr>
        <w:rPr>
          <w:rFonts w:ascii="宋体" w:hAnsi="宋体" w:cs="宋体"/>
          <w:szCs w:val="20"/>
        </w:rPr>
        <w:sectPr>
          <w:headerReference r:id="rId22" w:type="default"/>
          <w:footerReference r:id="rId23" w:type="default"/>
          <w:footerReference r:id="rId24" w:type="even"/>
          <w:pgSz w:w="11906" w:h="16838"/>
          <w:pgMar w:top="1418" w:right="1361" w:bottom="1418" w:left="1418" w:header="851" w:footer="992" w:gutter="0"/>
          <w:cols w:space="720" w:num="1"/>
          <w:docGrid w:linePitch="312" w:charSpace="0"/>
        </w:sectPr>
      </w:pPr>
    </w:p>
    <w:bookmarkEnd w:id="288"/>
    <w:bookmarkEnd w:id="289"/>
    <w:p>
      <w:pPr>
        <w:wordWrap w:val="0"/>
        <w:spacing w:line="440" w:lineRule="exact"/>
        <w:rPr>
          <w:rFonts w:ascii="宋体" w:hAnsi="宋体" w:cs="宋体"/>
          <w:sz w:val="30"/>
          <w:szCs w:val="30"/>
        </w:rPr>
      </w:pPr>
      <w:bookmarkStart w:id="351" w:name="_Toc287620794"/>
      <w:bookmarkStart w:id="352" w:name="_Toc255334272"/>
      <w:r>
        <w:rPr>
          <w:rFonts w:hint="eastAsia" w:ascii="宋体" w:hAnsi="宋体" w:cs="宋体"/>
          <w:sz w:val="30"/>
          <w:szCs w:val="30"/>
        </w:rPr>
        <w:t>附件3：</w:t>
      </w:r>
    </w:p>
    <w:p>
      <w:pPr>
        <w:spacing w:line="500" w:lineRule="exact"/>
        <w:jc w:val="center"/>
        <w:rPr>
          <w:rFonts w:ascii="宋体" w:hAnsi="宋体" w:cs="宋体"/>
          <w:b/>
          <w:bCs/>
          <w:sz w:val="44"/>
          <w:szCs w:val="44"/>
        </w:rPr>
      </w:pPr>
      <w:r>
        <w:rPr>
          <w:rFonts w:hint="eastAsia" w:ascii="宋体" w:hAnsi="宋体" w:cs="宋体"/>
          <w:b/>
          <w:sz w:val="32"/>
          <w:szCs w:val="32"/>
        </w:rPr>
        <w:t>廉洁协议</w:t>
      </w:r>
    </w:p>
    <w:p>
      <w:pPr>
        <w:spacing w:line="500" w:lineRule="exact"/>
        <w:ind w:firstLine="420" w:firstLineChars="200"/>
        <w:rPr>
          <w:rFonts w:ascii="宋体" w:hAnsi="宋体" w:cs="宋体"/>
          <w:szCs w:val="21"/>
        </w:rPr>
      </w:pPr>
    </w:p>
    <w:p>
      <w:pPr>
        <w:spacing w:line="500" w:lineRule="exact"/>
        <w:rPr>
          <w:rFonts w:ascii="宋体" w:hAnsi="宋体" w:cs="宋体"/>
          <w:u w:val="single"/>
        </w:rPr>
      </w:pPr>
      <w:r>
        <w:rPr>
          <w:rFonts w:hint="eastAsia" w:ascii="宋体" w:hAnsi="宋体" w:cs="宋体"/>
          <w:szCs w:val="21"/>
        </w:rPr>
        <w:t>承包人（全称）：</w:t>
      </w:r>
      <w:r>
        <w:rPr>
          <w:rFonts w:hint="eastAsia" w:ascii="宋体" w:hAnsi="宋体" w:cs="宋体"/>
          <w:u w:val="single"/>
        </w:rPr>
        <w:t>中机中联工程有限公司（简称甲方）</w:t>
      </w:r>
    </w:p>
    <w:p>
      <w:pPr>
        <w:spacing w:line="500" w:lineRule="exact"/>
        <w:rPr>
          <w:rFonts w:ascii="宋体" w:hAnsi="宋体" w:cs="宋体"/>
          <w:kern w:val="0"/>
          <w:szCs w:val="21"/>
          <w:u w:val="single"/>
        </w:rPr>
      </w:pPr>
      <w:r>
        <w:rPr>
          <w:rFonts w:hint="eastAsia" w:ascii="宋体" w:hAnsi="宋体" w:cs="宋体"/>
          <w:szCs w:val="21"/>
        </w:rPr>
        <w:t>分包人（全称）：</w:t>
      </w:r>
      <w:r>
        <w:rPr>
          <w:rFonts w:hint="eastAsia" w:ascii="宋体" w:hAnsi="宋体" w:cs="宋体"/>
          <w:u w:val="single"/>
        </w:rPr>
        <w:t>（简称乙方）</w:t>
      </w:r>
    </w:p>
    <w:p>
      <w:pPr>
        <w:spacing w:line="500" w:lineRule="exact"/>
        <w:ind w:firstLine="420" w:firstLineChars="200"/>
        <w:rPr>
          <w:rFonts w:ascii="宋体" w:hAnsi="宋体" w:cs="宋体"/>
          <w:bCs/>
          <w:sz w:val="32"/>
          <w:u w:val="single"/>
        </w:rPr>
      </w:pPr>
      <w:r>
        <w:rPr>
          <w:rFonts w:hint="eastAsia" w:ascii="宋体" w:hAnsi="宋体" w:cs="宋体"/>
          <w:szCs w:val="21"/>
        </w:rPr>
        <w:t>根据有关工程建设、廉政建设的规定，为作好工程建设的党风廉政建设，保证工程建设高效优质，保证建设资金的安全和有效使用以及投资效益，</w:t>
      </w:r>
      <w:r>
        <w:rPr>
          <w:rFonts w:hint="eastAsia" w:ascii="宋体" w:hAnsi="宋体" w:cs="宋体"/>
          <w:u w:val="single"/>
        </w:rPr>
        <w:t>安博重庆空港物流中心项目II期工程-栏杆及楼梯采购</w:t>
      </w:r>
      <w:r>
        <w:rPr>
          <w:rFonts w:hint="eastAsia" w:ascii="宋体" w:hAnsi="宋体" w:cs="宋体"/>
          <w:szCs w:val="21"/>
        </w:rPr>
        <w:t>的承包人</w:t>
      </w:r>
      <w:r>
        <w:rPr>
          <w:rFonts w:hint="eastAsia" w:ascii="宋体" w:hAnsi="宋体" w:cs="宋体"/>
          <w:u w:val="single"/>
        </w:rPr>
        <w:t>中机中联工程有限公司</w:t>
      </w:r>
      <w:r>
        <w:rPr>
          <w:rFonts w:hint="eastAsia" w:ascii="宋体" w:hAnsi="宋体" w:cs="宋体"/>
          <w:szCs w:val="21"/>
        </w:rPr>
        <w:t>与分包人，特订立本合同。</w:t>
      </w:r>
    </w:p>
    <w:p>
      <w:pPr>
        <w:spacing w:line="500" w:lineRule="exact"/>
        <w:ind w:left="-569" w:leftChars="-271" w:firstLine="840" w:firstLineChars="400"/>
        <w:rPr>
          <w:rFonts w:ascii="宋体" w:hAnsi="宋体" w:cs="宋体"/>
          <w:szCs w:val="21"/>
        </w:rPr>
      </w:pPr>
      <w:r>
        <w:rPr>
          <w:rFonts w:hint="eastAsia" w:ascii="宋体" w:hAnsi="宋体" w:cs="宋体"/>
          <w:szCs w:val="21"/>
        </w:rPr>
        <w:t>第一条甲乙双方的权利和义务</w:t>
      </w:r>
    </w:p>
    <w:p>
      <w:pPr>
        <w:spacing w:line="500" w:lineRule="exact"/>
        <w:ind w:firstLine="420" w:firstLineChars="200"/>
        <w:rPr>
          <w:rFonts w:ascii="宋体" w:hAnsi="宋体" w:cs="宋体"/>
          <w:szCs w:val="21"/>
        </w:rPr>
      </w:pPr>
      <w:r>
        <w:rPr>
          <w:rFonts w:hint="eastAsia" w:ascii="宋体" w:hAnsi="宋体" w:cs="宋体"/>
          <w:szCs w:val="21"/>
        </w:rPr>
        <w:t>1.1严格遵守党的政策规定和国家有关法律法规及建设部的有关规定。</w:t>
      </w:r>
    </w:p>
    <w:p>
      <w:pPr>
        <w:spacing w:line="500" w:lineRule="exact"/>
        <w:ind w:firstLine="420" w:firstLineChars="200"/>
        <w:rPr>
          <w:rFonts w:ascii="宋体" w:hAnsi="宋体" w:cs="宋体"/>
          <w:szCs w:val="21"/>
        </w:rPr>
      </w:pPr>
      <w:r>
        <w:rPr>
          <w:rFonts w:hint="eastAsia" w:ascii="宋体" w:hAnsi="宋体" w:cs="宋体"/>
          <w:szCs w:val="21"/>
        </w:rPr>
        <w:t>1.2严格执行</w:t>
      </w:r>
      <w:r>
        <w:rPr>
          <w:rFonts w:hint="eastAsia" w:ascii="宋体" w:hAnsi="宋体" w:cs="宋体"/>
          <w:u w:val="single"/>
        </w:rPr>
        <w:t>安博重庆空港物流中心项目II期工程-栏杆及楼梯采购</w:t>
      </w:r>
      <w:r>
        <w:rPr>
          <w:rFonts w:hint="eastAsia" w:ascii="宋体" w:hAnsi="宋体" w:cs="宋体"/>
          <w:szCs w:val="21"/>
        </w:rPr>
        <w:t>的施工分包合同文件，自觉按合同办事。</w:t>
      </w:r>
    </w:p>
    <w:p>
      <w:pPr>
        <w:spacing w:line="500" w:lineRule="exact"/>
        <w:ind w:firstLine="420" w:firstLineChars="200"/>
        <w:rPr>
          <w:rFonts w:ascii="宋体" w:hAnsi="宋体" w:cs="宋体"/>
          <w:szCs w:val="21"/>
        </w:rPr>
      </w:pPr>
      <w:r>
        <w:rPr>
          <w:rFonts w:hint="eastAsia" w:ascii="宋体" w:hAnsi="宋体" w:cs="宋体"/>
          <w:szCs w:val="21"/>
        </w:rPr>
        <w:t>1.3双方的业务活动坚持公开、公正、诚信、透明的原则（法律认定的商业秘密和合同文件规定除外），不得损害国家和集体利益，不得违反工程建设管理规章制度。</w:t>
      </w:r>
    </w:p>
    <w:p>
      <w:pPr>
        <w:spacing w:line="500" w:lineRule="exact"/>
        <w:ind w:firstLine="420" w:firstLineChars="200"/>
        <w:rPr>
          <w:rFonts w:ascii="宋体" w:hAnsi="宋体" w:cs="宋体"/>
          <w:szCs w:val="21"/>
        </w:rPr>
      </w:pPr>
      <w:r>
        <w:rPr>
          <w:rFonts w:hint="eastAsia" w:ascii="宋体" w:hAnsi="宋体" w:cs="宋体"/>
          <w:szCs w:val="21"/>
        </w:rPr>
        <w:t>1.4建立健全廉政制度，开展廉政教育，建立廉政告示牌，公布举报电话，监督并认真查处违法违纪行为。</w:t>
      </w:r>
    </w:p>
    <w:p>
      <w:pPr>
        <w:spacing w:line="500" w:lineRule="exact"/>
        <w:ind w:firstLine="420" w:firstLineChars="200"/>
        <w:rPr>
          <w:rFonts w:ascii="宋体" w:hAnsi="宋体" w:cs="宋体"/>
          <w:szCs w:val="21"/>
        </w:rPr>
      </w:pPr>
      <w:r>
        <w:rPr>
          <w:rFonts w:hint="eastAsia" w:ascii="宋体" w:hAnsi="宋体" w:cs="宋体"/>
          <w:szCs w:val="21"/>
        </w:rPr>
        <w:t>1.5发现对方在业务活动中有违反廉政规定的行为，有及时提醒对方纠正的权利和义务。</w:t>
      </w:r>
    </w:p>
    <w:p>
      <w:pPr>
        <w:spacing w:line="500" w:lineRule="exact"/>
        <w:ind w:firstLine="420" w:firstLineChars="200"/>
        <w:rPr>
          <w:rFonts w:ascii="宋体" w:hAnsi="宋体" w:cs="宋体"/>
          <w:szCs w:val="21"/>
        </w:rPr>
      </w:pPr>
      <w:r>
        <w:rPr>
          <w:rFonts w:hint="eastAsia" w:ascii="宋体" w:hAnsi="宋体" w:cs="宋体"/>
          <w:szCs w:val="21"/>
        </w:rPr>
        <w:t>发现对方严重违反本合同条款的行为，有向上级有关部门举报、建议给予处理并要求告知处理结果的权利。</w:t>
      </w:r>
    </w:p>
    <w:p>
      <w:pPr>
        <w:spacing w:line="500" w:lineRule="exact"/>
        <w:ind w:left="-569" w:leftChars="-271" w:firstLine="945" w:firstLineChars="450"/>
        <w:rPr>
          <w:rFonts w:ascii="宋体" w:hAnsi="宋体" w:cs="宋体"/>
          <w:szCs w:val="21"/>
        </w:rPr>
      </w:pPr>
      <w:r>
        <w:rPr>
          <w:rFonts w:hint="eastAsia" w:ascii="宋体" w:hAnsi="宋体" w:cs="宋体"/>
          <w:szCs w:val="21"/>
        </w:rPr>
        <w:t>第二条甲方的义务</w:t>
      </w:r>
    </w:p>
    <w:p>
      <w:pPr>
        <w:spacing w:line="500" w:lineRule="exact"/>
        <w:ind w:firstLine="420" w:firstLineChars="200"/>
        <w:rPr>
          <w:rFonts w:ascii="宋体" w:hAnsi="宋体" w:cs="宋体"/>
          <w:szCs w:val="21"/>
        </w:rPr>
      </w:pPr>
      <w:r>
        <w:rPr>
          <w:rFonts w:hint="eastAsia" w:ascii="宋体" w:hAnsi="宋体" w:cs="宋体"/>
          <w:szCs w:val="21"/>
        </w:rPr>
        <w:t>2.1甲方及其工作人员不得索要或接受乙方的礼金、有价证券和贵重物品，不得在乙方报销任何应由甲方或甲方工作人员个人支付的费用等。</w:t>
      </w:r>
    </w:p>
    <w:p>
      <w:pPr>
        <w:spacing w:line="500" w:lineRule="exact"/>
        <w:ind w:firstLine="420" w:firstLineChars="200"/>
        <w:rPr>
          <w:rFonts w:ascii="宋体" w:hAnsi="宋体" w:cs="宋体"/>
          <w:szCs w:val="21"/>
        </w:rPr>
      </w:pPr>
      <w:r>
        <w:rPr>
          <w:rFonts w:hint="eastAsia" w:ascii="宋体" w:hAnsi="宋体" w:cs="宋体"/>
          <w:szCs w:val="21"/>
        </w:rPr>
        <w:t>2.2甲方工作人员不得参加乙方安排的超标准宴请和娱乐活动；不得接受乙方提供的通讯工具、交通工具和高档办公用品等。</w:t>
      </w:r>
    </w:p>
    <w:p>
      <w:pPr>
        <w:spacing w:line="500" w:lineRule="exact"/>
        <w:ind w:firstLine="420" w:firstLineChars="200"/>
        <w:rPr>
          <w:rFonts w:ascii="宋体" w:hAnsi="宋体" w:cs="宋体"/>
          <w:szCs w:val="21"/>
        </w:rPr>
      </w:pPr>
      <w:r>
        <w:rPr>
          <w:rFonts w:hint="eastAsia" w:ascii="宋体" w:hAnsi="宋体" w:cs="宋体"/>
          <w:szCs w:val="21"/>
        </w:rPr>
        <w:t>2.3甲方及其工作人员不得要求或接受乙方为其住房装修、婚丧嫁娶活动配偶子女的工作安排以及出国出境、旅游等提供方便等。</w:t>
      </w:r>
    </w:p>
    <w:p>
      <w:pPr>
        <w:spacing w:line="500" w:lineRule="exact"/>
        <w:ind w:firstLine="420" w:firstLineChars="200"/>
        <w:rPr>
          <w:rFonts w:ascii="宋体" w:hAnsi="宋体" w:cs="宋体"/>
          <w:szCs w:val="21"/>
        </w:rPr>
      </w:pPr>
      <w:r>
        <w:rPr>
          <w:rFonts w:hint="eastAsia" w:ascii="宋体" w:hAnsi="宋体" w:cs="宋体"/>
          <w:szCs w:val="21"/>
        </w:rPr>
        <w:t>2.4甲方工作人员及其配偶、子女不得从事与乙方工程有关的材料设备供应、工程分包、劳务等经济活动。</w:t>
      </w:r>
    </w:p>
    <w:p>
      <w:pPr>
        <w:spacing w:line="500" w:lineRule="exact"/>
        <w:ind w:left="-569" w:leftChars="-271" w:firstLine="840" w:firstLineChars="400"/>
        <w:rPr>
          <w:rFonts w:ascii="宋体" w:hAnsi="宋体" w:cs="宋体"/>
          <w:szCs w:val="21"/>
        </w:rPr>
      </w:pPr>
      <w:r>
        <w:rPr>
          <w:rFonts w:hint="eastAsia" w:ascii="宋体" w:hAnsi="宋体" w:cs="宋体"/>
          <w:szCs w:val="21"/>
        </w:rPr>
        <w:t>第三条乙方义务</w:t>
      </w:r>
    </w:p>
    <w:p>
      <w:pPr>
        <w:spacing w:line="500" w:lineRule="exact"/>
        <w:ind w:firstLine="420" w:firstLineChars="200"/>
        <w:rPr>
          <w:rFonts w:ascii="宋体" w:hAnsi="宋体" w:cs="宋体"/>
          <w:szCs w:val="21"/>
        </w:rPr>
      </w:pPr>
      <w:r>
        <w:rPr>
          <w:rFonts w:hint="eastAsia" w:ascii="宋体" w:hAnsi="宋体" w:cs="宋体"/>
          <w:szCs w:val="21"/>
        </w:rPr>
        <w:t>3.1乙方不得以任何理由向甲方及其工作人员行贿或馈赠礼金、有价证券、贵重礼品等。</w:t>
      </w:r>
    </w:p>
    <w:p>
      <w:pPr>
        <w:spacing w:line="500" w:lineRule="exact"/>
        <w:ind w:firstLine="420" w:firstLineChars="200"/>
        <w:rPr>
          <w:rFonts w:ascii="宋体" w:hAnsi="宋体" w:cs="宋体"/>
          <w:szCs w:val="21"/>
        </w:rPr>
      </w:pPr>
      <w:r>
        <w:rPr>
          <w:rFonts w:hint="eastAsia" w:ascii="宋体" w:hAnsi="宋体" w:cs="宋体"/>
          <w:szCs w:val="21"/>
        </w:rPr>
        <w:t>3.2乙方不得以任何名义为甲方及其工作人员报销应由甲方单位或个人支付的任何费用。</w:t>
      </w:r>
    </w:p>
    <w:p>
      <w:pPr>
        <w:spacing w:line="500" w:lineRule="exact"/>
        <w:ind w:firstLine="420" w:firstLineChars="200"/>
        <w:rPr>
          <w:rFonts w:ascii="宋体" w:hAnsi="宋体" w:cs="宋体"/>
          <w:szCs w:val="21"/>
        </w:rPr>
      </w:pPr>
      <w:r>
        <w:rPr>
          <w:rFonts w:hint="eastAsia" w:ascii="宋体" w:hAnsi="宋体" w:cs="宋体"/>
          <w:szCs w:val="21"/>
        </w:rPr>
        <w:t>3.3乙方不得以任何理由安排甲方工作人员参加外出旅游或超标准宴请及娱乐活动。</w:t>
      </w:r>
    </w:p>
    <w:p>
      <w:pPr>
        <w:spacing w:line="500" w:lineRule="exact"/>
        <w:ind w:firstLine="420" w:firstLineChars="200"/>
        <w:rPr>
          <w:rFonts w:ascii="宋体" w:hAnsi="宋体" w:cs="宋体"/>
          <w:szCs w:val="21"/>
        </w:rPr>
      </w:pPr>
      <w:r>
        <w:rPr>
          <w:rFonts w:hint="eastAsia" w:ascii="宋体" w:hAnsi="宋体" w:cs="宋体"/>
          <w:szCs w:val="21"/>
        </w:rPr>
        <w:t>3.4乙方不得为甲方和个人购置或提供通讯工具、交通工具和高档办公用品等。</w:t>
      </w:r>
    </w:p>
    <w:p>
      <w:pPr>
        <w:spacing w:line="500" w:lineRule="exact"/>
        <w:ind w:firstLine="420" w:firstLineChars="200"/>
        <w:rPr>
          <w:rFonts w:ascii="宋体" w:hAnsi="宋体" w:cs="宋体"/>
          <w:szCs w:val="21"/>
        </w:rPr>
      </w:pPr>
      <w:r>
        <w:rPr>
          <w:rFonts w:hint="eastAsia" w:ascii="宋体" w:hAnsi="宋体" w:cs="宋体"/>
          <w:szCs w:val="21"/>
        </w:rPr>
        <w:t>3.5乙方及其工作人员必须严格按照规程办事，不得与监理单位串通监理损害甲方利益。</w:t>
      </w:r>
    </w:p>
    <w:p>
      <w:pPr>
        <w:spacing w:line="500" w:lineRule="exact"/>
        <w:ind w:firstLine="420" w:firstLineChars="200"/>
        <w:rPr>
          <w:rFonts w:ascii="宋体" w:hAnsi="宋体" w:cs="宋体"/>
          <w:szCs w:val="21"/>
        </w:rPr>
      </w:pPr>
      <w:r>
        <w:rPr>
          <w:rFonts w:hint="eastAsia" w:ascii="宋体" w:hAnsi="宋体" w:cs="宋体"/>
          <w:szCs w:val="21"/>
        </w:rPr>
        <w:t>3.6乙方如果发现甲方工作人员有违反廉政规定的行为，应向甲方组织或上级单位举报。甲方不得以任何借口对乙方进行报复。甲方对举报属实或严格遵守廉政合同的乙方，在同等条件下给予承接后续工程的优先邀请参加权。</w:t>
      </w:r>
    </w:p>
    <w:p>
      <w:pPr>
        <w:spacing w:line="500" w:lineRule="exact"/>
        <w:ind w:left="-569" w:leftChars="-271" w:firstLine="945" w:firstLineChars="450"/>
        <w:rPr>
          <w:rFonts w:ascii="宋体" w:hAnsi="宋体" w:cs="宋体"/>
          <w:szCs w:val="21"/>
        </w:rPr>
      </w:pPr>
      <w:r>
        <w:rPr>
          <w:rFonts w:hint="eastAsia" w:ascii="宋体" w:hAnsi="宋体" w:cs="宋体"/>
          <w:szCs w:val="21"/>
        </w:rPr>
        <w:t>第四条违约责任</w:t>
      </w:r>
    </w:p>
    <w:p>
      <w:pPr>
        <w:spacing w:line="500" w:lineRule="exact"/>
        <w:ind w:firstLine="420" w:firstLineChars="200"/>
        <w:rPr>
          <w:rFonts w:ascii="宋体" w:hAnsi="宋体" w:cs="宋体"/>
          <w:szCs w:val="21"/>
        </w:rPr>
      </w:pPr>
      <w:r>
        <w:rPr>
          <w:rFonts w:hint="eastAsia" w:ascii="宋体" w:hAnsi="宋体" w:cs="宋体"/>
          <w:szCs w:val="21"/>
        </w:rPr>
        <w:t>4.1甲方及其工作人员违反本合同第一、第二条，按管理权限，依据有关规定给予党纪、政纪或组织处理；涉嫌犯罪的，移交司法机关追究刑事主任；给乙方单位造成损失的，应予以赔偿。</w:t>
      </w:r>
    </w:p>
    <w:p>
      <w:pPr>
        <w:spacing w:line="500" w:lineRule="exact"/>
        <w:ind w:firstLine="420" w:firstLineChars="200"/>
        <w:rPr>
          <w:rFonts w:ascii="宋体" w:hAnsi="宋体" w:cs="宋体"/>
          <w:szCs w:val="21"/>
        </w:rPr>
      </w:pPr>
      <w:r>
        <w:rPr>
          <w:rFonts w:hint="eastAsia" w:ascii="宋体" w:hAnsi="宋体" w:cs="宋体"/>
          <w:szCs w:val="21"/>
        </w:rPr>
        <w:t>4.2乙方及其工作人员违反本合同的第三条，甲方根据具体情节和造成的后果追究乙方工程合同造价1～5％的违约金，给甲方单位造成损失的，均由乙方承担；五年内不得参与甲方后续工程的投标；情节严重的，甲方有权建议工程建设主管部门给予乙方一年至三年内不得进入其主管的工程建设市场的处罚。</w:t>
      </w:r>
    </w:p>
    <w:p>
      <w:pPr>
        <w:spacing w:line="500" w:lineRule="exact"/>
        <w:ind w:firstLine="420" w:firstLineChars="200"/>
        <w:rPr>
          <w:rFonts w:ascii="宋体" w:hAnsi="宋体" w:cs="宋体"/>
          <w:szCs w:val="21"/>
        </w:rPr>
      </w:pPr>
      <w:r>
        <w:rPr>
          <w:rFonts w:hint="eastAsia" w:ascii="宋体" w:hAnsi="宋体" w:cs="宋体"/>
          <w:szCs w:val="21"/>
        </w:rPr>
        <w:t>第五条双方约定，本合同由双方或双上级单位的纪检监察机关负责监督执行。</w:t>
      </w:r>
    </w:p>
    <w:p>
      <w:pPr>
        <w:spacing w:line="500" w:lineRule="exact"/>
        <w:ind w:firstLine="420" w:firstLineChars="200"/>
        <w:rPr>
          <w:rFonts w:ascii="宋体" w:hAnsi="宋体" w:cs="宋体"/>
          <w:szCs w:val="21"/>
        </w:rPr>
      </w:pPr>
      <w:r>
        <w:rPr>
          <w:rFonts w:hint="eastAsia" w:ascii="宋体" w:hAnsi="宋体" w:cs="宋体"/>
          <w:szCs w:val="21"/>
        </w:rPr>
        <w:t>第六条本合同从甲乙双方签署之日起生效，至该工程项目竣工验收后失效。</w:t>
      </w:r>
    </w:p>
    <w:p>
      <w:pPr>
        <w:spacing w:line="500" w:lineRule="exact"/>
        <w:ind w:firstLine="420" w:firstLineChars="200"/>
        <w:rPr>
          <w:rFonts w:ascii="宋体" w:hAnsi="宋体" w:cs="宋体"/>
          <w:szCs w:val="21"/>
        </w:rPr>
      </w:pPr>
      <w:r>
        <w:rPr>
          <w:rFonts w:hint="eastAsia" w:ascii="宋体" w:hAnsi="宋体" w:cs="宋体"/>
          <w:szCs w:val="21"/>
        </w:rPr>
        <w:t>第七条本合同作为</w:t>
      </w:r>
      <w:r>
        <w:rPr>
          <w:rFonts w:hint="eastAsia" w:ascii="宋体" w:hAnsi="宋体" w:cs="宋体"/>
          <w:u w:val="single"/>
        </w:rPr>
        <w:t>安博重庆空港物流中心项目II期工程-栏杆及楼梯采购</w:t>
      </w:r>
      <w:r>
        <w:rPr>
          <w:rFonts w:hint="eastAsia" w:ascii="宋体" w:hAnsi="宋体" w:cs="宋体"/>
        </w:rPr>
        <w:t>施工分包</w:t>
      </w:r>
      <w:r>
        <w:rPr>
          <w:rFonts w:hint="eastAsia" w:ascii="宋体" w:hAnsi="宋体" w:cs="宋体"/>
          <w:szCs w:val="21"/>
        </w:rPr>
        <w:t>合同附件，与工程合同具有同等的法律效力。</w:t>
      </w:r>
    </w:p>
    <w:p>
      <w:pPr>
        <w:spacing w:line="500" w:lineRule="exact"/>
        <w:rPr>
          <w:rFonts w:ascii="宋体" w:hAnsi="宋体" w:cs="宋体"/>
          <w:szCs w:val="21"/>
        </w:rPr>
      </w:pPr>
      <w:r>
        <w:rPr>
          <w:rFonts w:hint="eastAsia" w:ascii="宋体" w:hAnsi="宋体" w:cs="宋体"/>
          <w:szCs w:val="21"/>
        </w:rPr>
        <w:t>（以下为签章）</w:t>
      </w:r>
    </w:p>
    <w:p>
      <w:pPr>
        <w:spacing w:line="500" w:lineRule="exact"/>
        <w:ind w:firstLine="525" w:firstLineChars="250"/>
        <w:rPr>
          <w:rFonts w:ascii="宋体" w:hAnsi="宋体" w:cs="宋体"/>
          <w:szCs w:val="21"/>
        </w:rPr>
      </w:pPr>
      <w:r>
        <w:rPr>
          <w:rFonts w:hint="eastAsia" w:ascii="宋体" w:hAnsi="宋体" w:cs="宋体"/>
          <w:szCs w:val="21"/>
        </w:rPr>
        <w:t>承包人（公章）：分包人（公章）：</w:t>
      </w:r>
    </w:p>
    <w:p>
      <w:pPr>
        <w:spacing w:line="500" w:lineRule="exact"/>
        <w:ind w:firstLine="540"/>
        <w:rPr>
          <w:rFonts w:ascii="宋体" w:hAnsi="宋体" w:cs="宋体"/>
          <w:szCs w:val="21"/>
        </w:rPr>
      </w:pPr>
      <w:r>
        <w:rPr>
          <w:rFonts w:hint="eastAsia" w:ascii="宋体" w:hAnsi="宋体" w:cs="宋体"/>
          <w:szCs w:val="21"/>
        </w:rPr>
        <w:t>法定代表人（签字）法定代表人（签字）</w:t>
      </w:r>
    </w:p>
    <w:p>
      <w:pPr>
        <w:spacing w:line="500" w:lineRule="exact"/>
        <w:ind w:firstLine="540"/>
        <w:rPr>
          <w:rFonts w:ascii="宋体" w:hAnsi="宋体" w:cs="宋体"/>
          <w:szCs w:val="21"/>
        </w:rPr>
      </w:pPr>
      <w:r>
        <w:rPr>
          <w:rFonts w:hint="eastAsia" w:ascii="宋体" w:hAnsi="宋体" w:cs="宋体"/>
          <w:szCs w:val="21"/>
        </w:rPr>
        <w:t>或其委托代理人（签字）：或其委托代理人（签字）：</w:t>
      </w:r>
    </w:p>
    <w:p>
      <w:pPr>
        <w:spacing w:line="500" w:lineRule="exact"/>
        <w:ind w:firstLine="540"/>
        <w:rPr>
          <w:rFonts w:ascii="宋体" w:hAnsi="宋体" w:cs="宋体"/>
          <w:szCs w:val="21"/>
        </w:rPr>
      </w:pPr>
      <w:r>
        <w:rPr>
          <w:rFonts w:hint="eastAsia" w:ascii="宋体" w:hAnsi="宋体" w:cs="宋体"/>
          <w:szCs w:val="21"/>
        </w:rPr>
        <w:t>承包人监督机构（盖章）：</w:t>
      </w:r>
    </w:p>
    <w:p>
      <w:pPr>
        <w:spacing w:line="500" w:lineRule="exact"/>
        <w:ind w:firstLine="540"/>
        <w:rPr>
          <w:rFonts w:ascii="宋体" w:hAnsi="宋体" w:cs="宋体"/>
          <w:szCs w:val="21"/>
        </w:rPr>
      </w:pPr>
      <w:r>
        <w:rPr>
          <w:rFonts w:hint="eastAsia" w:ascii="宋体" w:hAnsi="宋体" w:cs="宋体"/>
          <w:szCs w:val="21"/>
        </w:rPr>
        <w:t>负责人（签字）：</w:t>
      </w:r>
    </w:p>
    <w:p>
      <w:pPr>
        <w:spacing w:line="500" w:lineRule="exact"/>
        <w:ind w:firstLine="5355" w:firstLineChars="2550"/>
        <w:rPr>
          <w:rFonts w:ascii="宋体" w:hAnsi="宋体" w:cs="宋体"/>
          <w:szCs w:val="21"/>
        </w:rPr>
      </w:pPr>
      <w:r>
        <w:rPr>
          <w:rFonts w:hint="eastAsia" w:ascii="宋体" w:hAnsi="宋体" w:cs="宋体"/>
          <w:szCs w:val="21"/>
        </w:rPr>
        <w:t>2015年       月      日</w:t>
      </w:r>
    </w:p>
    <w:p>
      <w:pPr>
        <w:spacing w:line="500" w:lineRule="exact"/>
        <w:jc w:val="center"/>
        <w:rPr>
          <w:rFonts w:ascii="宋体" w:hAnsi="宋体" w:cs="宋体"/>
          <w:snapToGrid w:val="0"/>
        </w:rPr>
      </w:pPr>
      <w:r>
        <w:rPr>
          <w:rFonts w:hint="eastAsia" w:ascii="宋体" w:hAnsi="宋体" w:cs="宋体"/>
          <w:b/>
          <w:bCs/>
          <w:kern w:val="0"/>
          <w:sz w:val="32"/>
          <w:szCs w:val="32"/>
        </w:rPr>
        <w:br w:type="page"/>
      </w:r>
    </w:p>
    <w:p>
      <w:pPr>
        <w:wordWrap w:val="0"/>
        <w:spacing w:line="440" w:lineRule="exact"/>
        <w:rPr>
          <w:rFonts w:ascii="宋体" w:hAnsi="宋体" w:cs="宋体"/>
          <w:sz w:val="30"/>
          <w:szCs w:val="30"/>
        </w:rPr>
      </w:pPr>
      <w:r>
        <w:rPr>
          <w:rFonts w:hint="eastAsia" w:ascii="宋体" w:hAnsi="宋体" w:cs="宋体"/>
          <w:sz w:val="30"/>
          <w:szCs w:val="30"/>
        </w:rPr>
        <w:t>附件4：</w:t>
      </w:r>
    </w:p>
    <w:p>
      <w:pPr>
        <w:spacing w:before="120" w:beforeLines="50" w:after="120" w:afterLines="50" w:line="480" w:lineRule="exact"/>
        <w:jc w:val="center"/>
        <w:rPr>
          <w:rFonts w:ascii="宋体" w:hAnsi="宋体" w:cs="宋体"/>
          <w:b/>
          <w:sz w:val="28"/>
          <w:szCs w:val="21"/>
        </w:rPr>
      </w:pPr>
      <w:r>
        <w:rPr>
          <w:rFonts w:hint="eastAsia" w:ascii="宋体" w:hAnsi="宋体" w:cs="宋体"/>
          <w:b/>
          <w:sz w:val="28"/>
          <w:szCs w:val="21"/>
        </w:rPr>
        <w:t>安全生产协议书</w:t>
      </w:r>
    </w:p>
    <w:p>
      <w:pPr>
        <w:spacing w:line="480" w:lineRule="exact"/>
        <w:ind w:firstLine="420" w:firstLineChars="200"/>
        <w:textAlignment w:val="baseline"/>
        <w:rPr>
          <w:rFonts w:ascii="宋体" w:hAnsi="宋体" w:cs="宋体"/>
          <w:szCs w:val="21"/>
        </w:rPr>
      </w:pPr>
      <w:r>
        <w:rPr>
          <w:rFonts w:hint="eastAsia" w:ascii="宋体" w:hAnsi="宋体" w:cs="宋体"/>
          <w:szCs w:val="21"/>
        </w:rPr>
        <w:t>安全生产是一切经济部门和生产企业的首要任务，生产必须保证安全是建筑企业必须遵守的原则，为了贯彻执行“安全第一，预防为主”的安全生产方针，切实加强管理，保证职工在生产过程中的安全和健康，促进生产发展，为在</w:t>
      </w:r>
      <w:r>
        <w:rPr>
          <w:rFonts w:hint="eastAsia" w:ascii="宋体" w:hAnsi="宋体" w:cs="宋体"/>
          <w:szCs w:val="21"/>
          <w:u w:val="single"/>
        </w:rPr>
        <w:t>安博重庆空港物流中心项目II期工程-栏杆及楼梯采购</w:t>
      </w:r>
      <w:r>
        <w:rPr>
          <w:rFonts w:hint="eastAsia" w:ascii="宋体" w:hAnsi="宋体" w:cs="宋体"/>
          <w:szCs w:val="21"/>
        </w:rPr>
        <w:t>施工分包合同的实施过程中创造安全、高效的施工环境，切实搞好本项目的安全管理工作，本项目承包人</w:t>
      </w:r>
      <w:r>
        <w:rPr>
          <w:rFonts w:hint="eastAsia" w:ascii="宋体" w:hAnsi="宋体" w:cs="宋体"/>
          <w:szCs w:val="21"/>
          <w:u w:val="single"/>
        </w:rPr>
        <w:t xml:space="preserve"> 中机中联工程有限公司</w:t>
      </w:r>
      <w:r>
        <w:rPr>
          <w:rFonts w:hint="eastAsia" w:ascii="宋体" w:hAnsi="宋体" w:cs="宋体"/>
          <w:szCs w:val="21"/>
        </w:rPr>
        <w:t>与分包人特此签订安全生产协议书。</w:t>
      </w:r>
    </w:p>
    <w:p>
      <w:pPr>
        <w:spacing w:line="480" w:lineRule="exact"/>
        <w:ind w:firstLine="555"/>
        <w:textAlignment w:val="baseline"/>
        <w:rPr>
          <w:rFonts w:ascii="宋体" w:hAnsi="宋体" w:cs="宋体"/>
          <w:b/>
          <w:szCs w:val="21"/>
        </w:rPr>
      </w:pPr>
      <w:r>
        <w:rPr>
          <w:rFonts w:hint="eastAsia" w:ascii="宋体" w:hAnsi="宋体" w:cs="宋体"/>
          <w:b/>
          <w:szCs w:val="21"/>
        </w:rPr>
        <w:t>一、承包人职责</w:t>
      </w:r>
    </w:p>
    <w:p>
      <w:pPr>
        <w:spacing w:line="480" w:lineRule="exact"/>
        <w:textAlignment w:val="baseline"/>
        <w:rPr>
          <w:rFonts w:ascii="宋体" w:hAnsi="宋体" w:cs="宋体"/>
          <w:szCs w:val="21"/>
        </w:rPr>
      </w:pPr>
      <w:r>
        <w:rPr>
          <w:rFonts w:hint="eastAsia" w:ascii="宋体" w:hAnsi="宋体" w:cs="宋体"/>
          <w:szCs w:val="21"/>
        </w:rPr>
        <w:t xml:space="preserve">    1、严格遵守国家有关安全生产的法律法规，认真执行工程承包合同中的有关安全要求。</w:t>
      </w:r>
    </w:p>
    <w:p>
      <w:pPr>
        <w:spacing w:line="480" w:lineRule="exact"/>
        <w:textAlignment w:val="baseline"/>
        <w:rPr>
          <w:rFonts w:ascii="宋体" w:hAnsi="宋体" w:cs="宋体"/>
          <w:szCs w:val="21"/>
        </w:rPr>
      </w:pPr>
      <w:r>
        <w:rPr>
          <w:rFonts w:hint="eastAsia" w:ascii="宋体" w:hAnsi="宋体" w:cs="宋体"/>
          <w:szCs w:val="21"/>
        </w:rPr>
        <w:t xml:space="preserve">    2、按照“安全第一、预防为主”和坚持“管生产必须管安全”的原则进行安全生产管理，做到生产与安全工作同时计划、布置、检查、总结和评比。</w:t>
      </w:r>
    </w:p>
    <w:p>
      <w:pPr>
        <w:spacing w:line="480" w:lineRule="exact"/>
        <w:textAlignment w:val="baseline"/>
        <w:rPr>
          <w:rFonts w:ascii="宋体" w:hAnsi="宋体" w:cs="宋体"/>
          <w:szCs w:val="21"/>
        </w:rPr>
      </w:pPr>
      <w:r>
        <w:rPr>
          <w:rFonts w:hint="eastAsia" w:ascii="宋体" w:hAnsi="宋体" w:cs="宋体"/>
          <w:szCs w:val="21"/>
        </w:rPr>
        <w:t xml:space="preserve">    3、重要的安全设施必须坚持与主体工程“三同时”的原则，即：同时设计、审批，同时施工，同时验收，投人使用。</w:t>
      </w:r>
    </w:p>
    <w:p>
      <w:pPr>
        <w:spacing w:line="480" w:lineRule="exact"/>
        <w:textAlignment w:val="baseline"/>
        <w:rPr>
          <w:rFonts w:ascii="宋体" w:hAnsi="宋体" w:cs="宋体"/>
          <w:szCs w:val="21"/>
        </w:rPr>
      </w:pPr>
      <w:r>
        <w:rPr>
          <w:rFonts w:hint="eastAsia" w:ascii="宋体" w:hAnsi="宋体" w:cs="宋体"/>
          <w:szCs w:val="21"/>
        </w:rPr>
        <w:t xml:space="preserve">    4、定期召开安全生产调度会，及时传达中央及地方有关安全生产的精神。</w:t>
      </w:r>
    </w:p>
    <w:p>
      <w:pPr>
        <w:spacing w:line="480" w:lineRule="exact"/>
        <w:ind w:firstLine="420" w:firstLineChars="200"/>
        <w:textAlignment w:val="baseline"/>
        <w:rPr>
          <w:rFonts w:ascii="宋体" w:hAnsi="宋体" w:cs="宋体"/>
          <w:szCs w:val="21"/>
        </w:rPr>
      </w:pPr>
      <w:r>
        <w:rPr>
          <w:rFonts w:hint="eastAsia" w:ascii="宋体" w:hAnsi="宋体" w:cs="宋体"/>
          <w:szCs w:val="21"/>
        </w:rPr>
        <w:t>5、组织对分包人施工现场安全生产检查，监督分包人及时处理发现的各种安全隐患。</w:t>
      </w:r>
    </w:p>
    <w:p>
      <w:pPr>
        <w:spacing w:line="480" w:lineRule="exact"/>
        <w:ind w:firstLine="570"/>
        <w:textAlignment w:val="baseline"/>
        <w:rPr>
          <w:rFonts w:ascii="宋体" w:hAnsi="宋体" w:cs="宋体"/>
          <w:b/>
          <w:szCs w:val="21"/>
        </w:rPr>
      </w:pPr>
      <w:r>
        <w:rPr>
          <w:rFonts w:hint="eastAsia" w:ascii="宋体" w:hAnsi="宋体" w:cs="宋体"/>
          <w:b/>
          <w:szCs w:val="21"/>
        </w:rPr>
        <w:t>二、分包人职责</w:t>
      </w:r>
    </w:p>
    <w:p>
      <w:pPr>
        <w:spacing w:line="480" w:lineRule="exact"/>
        <w:textAlignment w:val="baseline"/>
        <w:rPr>
          <w:rFonts w:ascii="宋体" w:hAnsi="宋体" w:cs="宋体"/>
          <w:szCs w:val="21"/>
        </w:rPr>
      </w:pPr>
      <w:r>
        <w:rPr>
          <w:rFonts w:hint="eastAsia" w:ascii="宋体" w:hAnsi="宋体" w:cs="宋体"/>
          <w:szCs w:val="21"/>
        </w:rPr>
        <w:t xml:space="preserve">    1、严格遵守国家《安全生产法》、《建筑法》、《劳动法》、《安全生产许可证条例》、《建设工程安全生产管理条例》等一系列有关安全生产的法律法规，严格执行最新版本的《建筑施工安全检查标准》、《施工现场临时用电安全技术规范》等一系列标准、规程、规范。，认真执行工程承包合同中的有关安全要求。</w:t>
      </w:r>
    </w:p>
    <w:p>
      <w:pPr>
        <w:spacing w:line="480" w:lineRule="exact"/>
        <w:ind w:firstLine="420"/>
        <w:textAlignment w:val="baseline"/>
        <w:rPr>
          <w:rFonts w:ascii="宋体" w:hAnsi="宋体" w:cs="宋体"/>
          <w:szCs w:val="21"/>
        </w:rPr>
      </w:pPr>
      <w:r>
        <w:rPr>
          <w:rFonts w:hint="eastAsia" w:ascii="宋体" w:hAnsi="宋体" w:cs="宋体"/>
          <w:szCs w:val="21"/>
        </w:rPr>
        <w:t>2、坚持“安全第一、预防为主”和“管生产必须管安全”的原则，加强安全生产宣传教育，增强全员安全生产意识，建立健全各项安全生产的管理机构和安全生产管理制度，按规定配备专职及兼职安全管理人员，有组织有领导地开展安全生产活动。各级领导、工程技术人员、生产管理人员和施工作业人员，必须熟悉和遵守本条款的各项规定，做到生产与安全工作同时计划、布置、检查、总结和评比。</w:t>
      </w:r>
    </w:p>
    <w:p>
      <w:pPr>
        <w:spacing w:line="480" w:lineRule="exact"/>
        <w:ind w:firstLine="420"/>
        <w:textAlignment w:val="baseline"/>
        <w:rPr>
          <w:rFonts w:ascii="宋体" w:hAnsi="宋体" w:cs="宋体"/>
          <w:szCs w:val="21"/>
        </w:rPr>
      </w:pPr>
      <w:r>
        <w:rPr>
          <w:rFonts w:hint="eastAsia" w:ascii="宋体" w:hAnsi="宋体" w:cs="宋体"/>
          <w:szCs w:val="21"/>
        </w:rPr>
        <w:t>承办人应定期进行防火、防盗、防爆炸、防事故为重点的安全教育和遵纪守法教育，增强安全防范意识和遵纪守法意识。</w:t>
      </w:r>
    </w:p>
    <w:p>
      <w:pPr>
        <w:spacing w:line="480" w:lineRule="exact"/>
        <w:ind w:firstLine="420"/>
        <w:textAlignment w:val="baseline"/>
        <w:rPr>
          <w:rFonts w:ascii="宋体" w:hAnsi="宋体" w:cs="宋体"/>
          <w:szCs w:val="21"/>
        </w:rPr>
      </w:pPr>
      <w:r>
        <w:rPr>
          <w:rFonts w:hint="eastAsia" w:ascii="宋体" w:hAnsi="宋体" w:cs="宋体"/>
          <w:szCs w:val="21"/>
        </w:rPr>
        <w:t>3、建立健全安全生产责任制。从派往项目实施的项目经理到施工作业人员（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pPr>
        <w:spacing w:line="480" w:lineRule="exact"/>
        <w:ind w:firstLine="420"/>
        <w:textAlignment w:val="baseline"/>
        <w:rPr>
          <w:rFonts w:ascii="宋体" w:hAnsi="宋体" w:cs="宋体"/>
          <w:szCs w:val="21"/>
        </w:rPr>
      </w:pPr>
      <w:r>
        <w:rPr>
          <w:rFonts w:hint="eastAsia" w:ascii="宋体" w:hAnsi="宋体" w:cs="宋体"/>
          <w:szCs w:val="21"/>
        </w:rPr>
        <w:t>分包人应在施工开始前，根据建设工程的性质、规模和特点，配备规定数量的专职安全管理员，佩戴明显安全标志，并明确施工安全管理的具体职责范围。在进场3天内将安全管理机构、专职、兼职安全员名单报承包人备案。</w:t>
      </w:r>
    </w:p>
    <w:p>
      <w:pPr>
        <w:spacing w:line="480" w:lineRule="exact"/>
        <w:ind w:firstLine="420"/>
        <w:textAlignment w:val="baseline"/>
        <w:rPr>
          <w:rFonts w:ascii="宋体" w:hAnsi="宋体" w:cs="宋体"/>
          <w:szCs w:val="21"/>
        </w:rPr>
      </w:pPr>
      <w:r>
        <w:rPr>
          <w:rFonts w:hint="eastAsia" w:ascii="宋体" w:hAnsi="宋体" w:cs="宋体"/>
          <w:szCs w:val="21"/>
        </w:rPr>
        <w:t>分包人在编制施工组织设计时，应根据建设工程的性质、规模、特点以及施工现场的环境条件，制定和组织落实专项的施工安全技术措施，并向所有施工人员进行安全技术交底；在施工过程中，根据施工组织的设计和施工进度，向不同工种的施工人员进行专项的安全技术交底。施工安全技术措施应符合有关的国家标准、行业标准或地方标准。</w:t>
      </w:r>
    </w:p>
    <w:p>
      <w:pPr>
        <w:spacing w:line="480" w:lineRule="exact"/>
        <w:ind w:firstLine="420"/>
        <w:textAlignment w:val="baseline"/>
        <w:rPr>
          <w:rFonts w:ascii="宋体" w:hAnsi="宋体" w:cs="宋体"/>
          <w:szCs w:val="21"/>
        </w:rPr>
      </w:pPr>
      <w:r>
        <w:rPr>
          <w:rFonts w:hint="eastAsia" w:ascii="宋体" w:hAnsi="宋体" w:cs="宋体"/>
          <w:szCs w:val="21"/>
        </w:rPr>
        <w:t>分包人每天24小时必须有安全值班人员，要求安全值班人员对各自负责区域范围进行安全检查，做好安全检查记录，发现安全事故隐患以及违反施工安全技术标准或安全操作规程的行为，应及时予以制止或纠正，及时消除各种安全隐患、漏洞，并随时接受承包人的监督检查。</w:t>
      </w:r>
    </w:p>
    <w:p>
      <w:pPr>
        <w:spacing w:line="480" w:lineRule="exact"/>
        <w:ind w:firstLine="420"/>
        <w:textAlignment w:val="baseline"/>
        <w:rPr>
          <w:rFonts w:ascii="宋体" w:hAnsi="宋体" w:cs="宋体"/>
          <w:szCs w:val="21"/>
        </w:rPr>
      </w:pPr>
      <w:r>
        <w:rPr>
          <w:rFonts w:hint="eastAsia" w:ascii="宋体" w:hAnsi="宋体" w:cs="宋体"/>
          <w:szCs w:val="21"/>
        </w:rPr>
        <w:t>施工单位住地禁止留宿外人。</w:t>
      </w:r>
    </w:p>
    <w:p>
      <w:pPr>
        <w:spacing w:line="480" w:lineRule="exact"/>
        <w:textAlignment w:val="baseline"/>
        <w:rPr>
          <w:rFonts w:ascii="宋体" w:hAnsi="宋体" w:cs="宋体"/>
          <w:szCs w:val="21"/>
        </w:rPr>
      </w:pPr>
      <w:r>
        <w:rPr>
          <w:rFonts w:hint="eastAsia" w:ascii="宋体" w:hAnsi="宋体" w:cs="宋体"/>
          <w:szCs w:val="21"/>
        </w:rPr>
        <w:t xml:space="preserve">    4、分包人在任何时候都应采取各种合理的预防措施，防止其员工发生任何违法、违禁、暴力或妨碍治安的行为。</w:t>
      </w:r>
    </w:p>
    <w:p>
      <w:pPr>
        <w:spacing w:line="480" w:lineRule="exact"/>
        <w:ind w:firstLine="420" w:firstLineChars="200"/>
        <w:textAlignment w:val="baseline"/>
        <w:rPr>
          <w:rFonts w:ascii="宋体" w:hAnsi="宋体" w:cs="宋体"/>
          <w:szCs w:val="21"/>
        </w:rPr>
      </w:pPr>
      <w:r>
        <w:rPr>
          <w:rFonts w:hint="eastAsia" w:ascii="宋体" w:hAnsi="宋体" w:cs="宋体"/>
          <w:szCs w:val="21"/>
        </w:rPr>
        <w:t>5、分包人应建立、健全对施工人员的日常安全教育、技术培训和考核的制度，并严格组织实施。分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特种作业人员安全操作合格证》后，方准持证上岗。施工现场如出现特种作业无证操作或过期现象时，项目经理必须承担管理责任。安全管理人员素质应符合规定要求，持有建设行政主管部门核发的“三类人员”安全考核合格证；负责所雇佣特种作业人员的培训、考核和取证，确保特种作业人员持证上岗，做到人证相符、证岗吻合；对所雇佣人员进行安全生产三级教育，组织班组开展安全教育、学习、宣传、检查、整改等活动；负责对所雇佣人员进行实名制管理（造花名册、提供身份证复印件等）。并将这些资料报承包人备查。分包人承担未进行实名制管理、未进行三级安全教育人员的一切安全责任，并且还将按照每发现违反一人次处200元惩罚性违约金进行处理。</w:t>
      </w:r>
    </w:p>
    <w:p>
      <w:pPr>
        <w:spacing w:line="480" w:lineRule="exact"/>
        <w:ind w:firstLine="570"/>
        <w:textAlignment w:val="baseline"/>
        <w:rPr>
          <w:rFonts w:ascii="宋体" w:hAnsi="宋体" w:cs="宋体"/>
          <w:szCs w:val="21"/>
        </w:rPr>
      </w:pPr>
      <w:r>
        <w:rPr>
          <w:rFonts w:hint="eastAsia" w:ascii="宋体" w:hAnsi="宋体" w:cs="宋体"/>
          <w:szCs w:val="21"/>
        </w:rPr>
        <w:t>6、对于易燃易爆的材料除应专门妥善保管之外，还应配备有足够的消防设施，所有施工人员都应熟悉消防设备的性能和使用方法；分包人不得将任何种类的爆炸物给予、易货或以其他方式转让给任何其他人，或允许、容忍上述同样行为。</w:t>
      </w:r>
    </w:p>
    <w:p>
      <w:pPr>
        <w:spacing w:line="480" w:lineRule="exact"/>
        <w:ind w:firstLine="570"/>
        <w:textAlignment w:val="baseline"/>
        <w:rPr>
          <w:rFonts w:ascii="宋体" w:hAnsi="宋体" w:cs="宋体"/>
          <w:szCs w:val="21"/>
        </w:rPr>
      </w:pPr>
      <w:r>
        <w:rPr>
          <w:rFonts w:hint="eastAsia" w:ascii="宋体" w:hAnsi="宋体" w:cs="宋体"/>
          <w:szCs w:val="21"/>
        </w:rPr>
        <w:t>7、分包人应及时提供施工安全所必须的，符合规定标准的劳动防护用品。操作人员上岗，必须按规定穿戴防护用品。施工负责人和安全管理人员应随时检查劳动防护用品的穿戴情况，不按规定穿戴防护用品的人员不得上岗。</w:t>
      </w:r>
    </w:p>
    <w:p>
      <w:pPr>
        <w:spacing w:line="480" w:lineRule="exact"/>
        <w:ind w:firstLine="570"/>
        <w:textAlignment w:val="baseline"/>
        <w:rPr>
          <w:rFonts w:ascii="宋体" w:hAnsi="宋体" w:cs="宋体"/>
          <w:szCs w:val="21"/>
        </w:rPr>
      </w:pPr>
      <w:r>
        <w:rPr>
          <w:rFonts w:hint="eastAsia" w:ascii="宋体" w:hAnsi="宋体" w:cs="宋体"/>
          <w:szCs w:val="21"/>
        </w:rPr>
        <w:t>8、所有施工机具设备、电气设备设施和高空作业的设备设施均应定期检查，并有负责人员的签字记录，保证其经常处于完好状态；不合格的机具、设备和劳动保护用品严禁使用、安装。</w:t>
      </w:r>
    </w:p>
    <w:p>
      <w:pPr>
        <w:spacing w:line="480" w:lineRule="exact"/>
        <w:ind w:firstLine="570"/>
        <w:textAlignment w:val="baseline"/>
        <w:rPr>
          <w:rFonts w:ascii="宋体" w:hAnsi="宋体" w:cs="宋体"/>
          <w:szCs w:val="21"/>
        </w:rPr>
      </w:pPr>
      <w:r>
        <w:rPr>
          <w:rFonts w:hint="eastAsia" w:ascii="宋体" w:hAnsi="宋体" w:cs="宋体"/>
          <w:szCs w:val="21"/>
        </w:rPr>
        <w:t>9、施工中采用新技术、新工艺、新设备、新材料时，必须制定相应的安全技术措施，施工现场必须具有相关的安全标志牌。</w:t>
      </w:r>
    </w:p>
    <w:p>
      <w:pPr>
        <w:spacing w:line="480" w:lineRule="exact"/>
        <w:ind w:firstLine="570"/>
        <w:textAlignment w:val="baseline"/>
        <w:rPr>
          <w:rFonts w:ascii="宋体" w:hAnsi="宋体" w:cs="宋体"/>
          <w:szCs w:val="21"/>
        </w:rPr>
      </w:pPr>
      <w:r>
        <w:rPr>
          <w:rFonts w:hint="eastAsia" w:ascii="宋体" w:hAnsi="宋体" w:cs="宋体"/>
          <w:szCs w:val="21"/>
        </w:rPr>
        <w:t>10、分包人应按照有关的国家标准、行业标准或者地方标准，在施工现场设置安全防护设施，并达到下列要求：</w:t>
      </w:r>
    </w:p>
    <w:p>
      <w:pPr>
        <w:spacing w:line="480" w:lineRule="exact"/>
        <w:ind w:firstLine="570"/>
        <w:textAlignment w:val="baseline"/>
        <w:rPr>
          <w:rFonts w:ascii="宋体" w:hAnsi="宋体" w:cs="宋体"/>
          <w:szCs w:val="21"/>
        </w:rPr>
      </w:pPr>
      <w:r>
        <w:rPr>
          <w:rFonts w:hint="eastAsia" w:ascii="宋体" w:hAnsi="宋体" w:cs="宋体"/>
          <w:szCs w:val="21"/>
        </w:rPr>
        <w:t>(1)根据建设工程的施工进度，及时调整和完善安全防护设施以及标志牌、标语等。</w:t>
      </w:r>
    </w:p>
    <w:p>
      <w:pPr>
        <w:spacing w:line="480" w:lineRule="exact"/>
        <w:ind w:firstLine="570"/>
        <w:textAlignment w:val="baseline"/>
        <w:rPr>
          <w:rFonts w:ascii="宋体" w:hAnsi="宋体" w:cs="宋体"/>
          <w:szCs w:val="21"/>
        </w:rPr>
      </w:pPr>
      <w:r>
        <w:rPr>
          <w:rFonts w:hint="eastAsia" w:ascii="宋体" w:hAnsi="宋体" w:cs="宋体"/>
          <w:szCs w:val="21"/>
        </w:rPr>
        <w:t>(2)在施工现场的事故易发区域，设置专项的安全防护设施，并设立醒目的警示标志。</w:t>
      </w:r>
    </w:p>
    <w:p>
      <w:pPr>
        <w:spacing w:line="480" w:lineRule="exact"/>
        <w:ind w:firstLine="570"/>
        <w:textAlignment w:val="baseline"/>
        <w:rPr>
          <w:rFonts w:ascii="宋体" w:hAnsi="宋体" w:cs="宋体"/>
          <w:szCs w:val="21"/>
        </w:rPr>
      </w:pPr>
      <w:r>
        <w:rPr>
          <w:rFonts w:hint="eastAsia" w:ascii="宋体" w:hAnsi="宋体" w:cs="宋体"/>
          <w:szCs w:val="21"/>
        </w:rPr>
        <w:t>(3)根据季节或者天气特点，设置或者调整专项的安全防护设施，并进行相关的安全检查。</w:t>
      </w:r>
    </w:p>
    <w:p>
      <w:pPr>
        <w:spacing w:line="480" w:lineRule="exact"/>
        <w:ind w:firstLine="420" w:firstLineChars="200"/>
        <w:textAlignment w:val="baseline"/>
        <w:rPr>
          <w:rFonts w:ascii="宋体" w:hAnsi="宋体" w:cs="宋体"/>
          <w:szCs w:val="21"/>
        </w:rPr>
      </w:pPr>
      <w:r>
        <w:rPr>
          <w:rFonts w:hint="eastAsia" w:ascii="宋体" w:hAnsi="宋体" w:cs="宋体"/>
          <w:szCs w:val="21"/>
        </w:rPr>
        <w:t>（4）建设工程涉及到公共安全，施工单位应按照有关规定，进行全封闭施工，在施工现场周围设置专门的公共安全防护设施。</w:t>
      </w:r>
    </w:p>
    <w:p>
      <w:pPr>
        <w:spacing w:line="480" w:lineRule="exact"/>
        <w:ind w:firstLine="570"/>
        <w:textAlignment w:val="baseline"/>
        <w:rPr>
          <w:rFonts w:ascii="宋体" w:hAnsi="宋体" w:cs="宋体"/>
          <w:szCs w:val="21"/>
        </w:rPr>
      </w:pPr>
      <w:r>
        <w:rPr>
          <w:rFonts w:hint="eastAsia" w:ascii="宋体" w:hAnsi="宋体" w:cs="宋体"/>
          <w:szCs w:val="21"/>
        </w:rPr>
        <w:t>11、分包人应遵守施工现场电气安全保护和防火安全的有关规定，并达到下列要求：</w:t>
      </w:r>
    </w:p>
    <w:p>
      <w:pPr>
        <w:spacing w:line="480" w:lineRule="exact"/>
        <w:ind w:firstLine="570"/>
        <w:textAlignment w:val="baseline"/>
        <w:rPr>
          <w:rFonts w:ascii="宋体" w:hAnsi="宋体" w:cs="宋体"/>
          <w:szCs w:val="21"/>
        </w:rPr>
      </w:pPr>
      <w:r>
        <w:rPr>
          <w:rFonts w:hint="eastAsia" w:ascii="宋体" w:hAnsi="宋体" w:cs="宋体"/>
          <w:szCs w:val="21"/>
        </w:rPr>
        <w:t>(一)保持变配电设施和输配电线路处于安全、可靠的可使用状态。</w:t>
      </w:r>
    </w:p>
    <w:p>
      <w:pPr>
        <w:spacing w:line="480" w:lineRule="exact"/>
        <w:ind w:firstLine="570"/>
        <w:textAlignment w:val="baseline"/>
        <w:rPr>
          <w:rFonts w:ascii="宋体" w:hAnsi="宋体" w:cs="宋体"/>
          <w:szCs w:val="21"/>
        </w:rPr>
      </w:pPr>
      <w:r>
        <w:rPr>
          <w:rFonts w:hint="eastAsia" w:ascii="宋体" w:hAnsi="宋体" w:cs="宋体"/>
          <w:szCs w:val="21"/>
        </w:rPr>
        <w:t>(二)确保用火作业符合消防技术标准和规范，并保证消防设施的完好、有效。</w:t>
      </w:r>
    </w:p>
    <w:p>
      <w:pPr>
        <w:spacing w:line="480" w:lineRule="exact"/>
        <w:ind w:firstLine="573"/>
        <w:textAlignment w:val="baseline"/>
        <w:rPr>
          <w:rFonts w:ascii="宋体" w:hAnsi="宋体" w:cs="宋体"/>
          <w:szCs w:val="21"/>
        </w:rPr>
      </w:pPr>
      <w:r>
        <w:rPr>
          <w:rFonts w:hint="eastAsia" w:ascii="宋体" w:hAnsi="宋体" w:cs="宋体"/>
          <w:szCs w:val="21"/>
        </w:rPr>
        <w:t>12、分包人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pPr>
        <w:spacing w:line="480" w:lineRule="exact"/>
        <w:ind w:firstLine="422" w:firstLineChars="200"/>
        <w:textAlignment w:val="baseline"/>
        <w:rPr>
          <w:rFonts w:ascii="宋体" w:hAnsi="宋体" w:cs="宋体"/>
          <w:b/>
          <w:szCs w:val="21"/>
        </w:rPr>
      </w:pPr>
      <w:r>
        <w:rPr>
          <w:rFonts w:hint="eastAsia" w:ascii="宋体" w:hAnsi="宋体" w:cs="宋体"/>
          <w:b/>
          <w:szCs w:val="21"/>
        </w:rPr>
        <w:t>三、施工安全责任</w:t>
      </w:r>
    </w:p>
    <w:p>
      <w:pPr>
        <w:spacing w:line="480" w:lineRule="exact"/>
        <w:ind w:firstLine="420" w:firstLineChars="200"/>
        <w:rPr>
          <w:rFonts w:ascii="宋体" w:hAnsi="宋体" w:cs="宋体"/>
          <w:szCs w:val="21"/>
        </w:rPr>
      </w:pPr>
      <w:r>
        <w:rPr>
          <w:rFonts w:hint="eastAsia" w:ascii="宋体" w:hAnsi="宋体" w:cs="宋体"/>
          <w:szCs w:val="21"/>
        </w:rPr>
        <w:t>分包人负责本单位承担的施工范围内全部的安全管理工作，并承担该区域范围内发生的一切安全责任事故的处理和全部经济法律责任，处理安全责任事故所产生的一切费用均由分包人承担。</w:t>
      </w:r>
    </w:p>
    <w:p>
      <w:pPr>
        <w:spacing w:line="480" w:lineRule="exact"/>
        <w:rPr>
          <w:rFonts w:ascii="宋体" w:hAnsi="宋体" w:cs="宋体"/>
          <w:szCs w:val="21"/>
        </w:rPr>
      </w:pPr>
      <w:r>
        <w:rPr>
          <w:rFonts w:hint="eastAsia" w:ascii="宋体" w:hAnsi="宋体" w:cs="宋体"/>
          <w:szCs w:val="21"/>
        </w:rPr>
        <w:t xml:space="preserve">    如若承包人对安全事故进行了赔偿，则承包人有权直接从分包人工程款中扣除用以抵偿承包人，若工程款不够抵偿部分，承包人仍有权向分包人追偿。</w:t>
      </w:r>
    </w:p>
    <w:p>
      <w:pPr>
        <w:spacing w:line="480" w:lineRule="exact"/>
        <w:ind w:firstLine="422" w:firstLineChars="200"/>
        <w:textAlignment w:val="baseline"/>
        <w:rPr>
          <w:rFonts w:ascii="宋体" w:hAnsi="宋体" w:cs="宋体"/>
          <w:b/>
          <w:szCs w:val="21"/>
        </w:rPr>
      </w:pPr>
      <w:r>
        <w:rPr>
          <w:rFonts w:hint="eastAsia" w:ascii="宋体" w:hAnsi="宋体" w:cs="宋体"/>
          <w:b/>
          <w:szCs w:val="21"/>
        </w:rPr>
        <w:t>四、其他</w:t>
      </w:r>
    </w:p>
    <w:p>
      <w:pPr>
        <w:adjustRightInd w:val="0"/>
        <w:spacing w:line="480" w:lineRule="exact"/>
        <w:ind w:firstLine="420" w:firstLineChars="200"/>
        <w:rPr>
          <w:rFonts w:ascii="宋体" w:hAnsi="宋体" w:cs="宋体"/>
          <w:szCs w:val="21"/>
        </w:rPr>
      </w:pPr>
      <w:r>
        <w:rPr>
          <w:rFonts w:hint="eastAsia" w:ascii="宋体" w:hAnsi="宋体" w:cs="宋体"/>
          <w:szCs w:val="21"/>
        </w:rPr>
        <w:t>本安全生产合同为施工合同的附件，由承包人、分包人双方签署且加盖公章后生效，全部工程竣工验收后失效。</w:t>
      </w:r>
    </w:p>
    <w:p>
      <w:pPr>
        <w:spacing w:before="240" w:beforeLines="100" w:after="240" w:afterLines="100" w:line="480" w:lineRule="exact"/>
        <w:ind w:left="2" w:leftChars="1" w:firstLine="315" w:firstLineChars="150"/>
        <w:textAlignment w:val="baseline"/>
        <w:rPr>
          <w:rFonts w:ascii="宋体" w:hAnsi="宋体" w:cs="宋体"/>
          <w:szCs w:val="21"/>
        </w:rPr>
      </w:pPr>
      <w:r>
        <w:rPr>
          <w:rFonts w:hint="eastAsia" w:ascii="宋体" w:hAnsi="宋体" w:cs="宋体"/>
          <w:szCs w:val="21"/>
        </w:rPr>
        <w:t>承包人：分包人：</w:t>
      </w:r>
    </w:p>
    <w:p>
      <w:pPr>
        <w:snapToGrid w:val="0"/>
        <w:spacing w:line="480" w:lineRule="exact"/>
        <w:ind w:firstLine="315" w:firstLineChars="150"/>
        <w:rPr>
          <w:rFonts w:ascii="宋体" w:hAnsi="宋体" w:cs="宋体"/>
          <w:szCs w:val="21"/>
        </w:rPr>
      </w:pPr>
      <w:r>
        <w:rPr>
          <w:rFonts w:hint="eastAsia" w:ascii="宋体" w:hAnsi="宋体" w:cs="宋体"/>
          <w:szCs w:val="21"/>
        </w:rPr>
        <w:t>项目负责人：项目负责人：</w:t>
      </w:r>
    </w:p>
    <w:p>
      <w:pPr>
        <w:snapToGrid w:val="0"/>
        <w:spacing w:line="480" w:lineRule="exact"/>
        <w:ind w:firstLine="315" w:firstLineChars="150"/>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p>
      <w:pPr>
        <w:spacing w:line="480" w:lineRule="exact"/>
        <w:rPr>
          <w:rFonts w:ascii="宋体" w:hAnsi="宋体" w:cs="宋体"/>
          <w:szCs w:val="21"/>
        </w:rPr>
      </w:pPr>
    </w:p>
    <w:bookmarkEnd w:id="351"/>
    <w:bookmarkEnd w:id="352"/>
    <w:p>
      <w:pPr>
        <w:pStyle w:val="2"/>
        <w:jc w:val="center"/>
        <w:rPr>
          <w:rFonts w:ascii="宋体" w:hAnsi="宋体" w:cs="宋体"/>
        </w:rPr>
      </w:pPr>
      <w:bookmarkStart w:id="353" w:name="招标文件06章图纸"/>
      <w:bookmarkEnd w:id="353"/>
      <w:bookmarkStart w:id="354" w:name="_Toc300662172"/>
      <w:bookmarkStart w:id="355" w:name="_Toc287620803"/>
      <w:bookmarkStart w:id="356" w:name="_Toc287607861"/>
      <w:r>
        <w:rPr>
          <w:rFonts w:hint="eastAsia" w:ascii="宋体" w:hAnsi="宋体" w:cs="宋体"/>
        </w:rPr>
        <w:t>第五章　工程图纸</w:t>
      </w:r>
      <w:bookmarkEnd w:id="354"/>
      <w:bookmarkEnd w:id="355"/>
      <w:bookmarkEnd w:id="356"/>
    </w:p>
    <w:p>
      <w:pPr>
        <w:spacing w:line="360" w:lineRule="auto"/>
        <w:rPr>
          <w:rFonts w:ascii="宋体" w:hAnsi="宋体" w:cs="宋体"/>
          <w:b/>
          <w:sz w:val="22"/>
        </w:rPr>
      </w:pPr>
      <w:r>
        <w:rPr>
          <w:rFonts w:hint="eastAsia" w:ascii="宋体" w:hAnsi="宋体" w:cs="宋体"/>
          <w:b/>
          <w:sz w:val="22"/>
        </w:rPr>
        <w:t>1、图纸（电子版）</w:t>
      </w:r>
    </w:p>
    <w:p>
      <w:pPr>
        <w:spacing w:line="360" w:lineRule="auto"/>
        <w:rPr>
          <w:rFonts w:ascii="宋体" w:hAnsi="宋体" w:cs="宋体"/>
          <w:sz w:val="22"/>
          <w:szCs w:val="20"/>
        </w:rPr>
      </w:pPr>
    </w:p>
    <w:p>
      <w:pPr>
        <w:rPr>
          <w:rFonts w:ascii="宋体" w:hAnsi="宋体" w:cs="宋体"/>
          <w:szCs w:val="20"/>
        </w:rPr>
      </w:pPr>
      <w:r>
        <w:rPr>
          <w:rFonts w:hint="eastAsia" w:ascii="宋体" w:hAnsi="宋体" w:cs="宋体"/>
          <w:szCs w:val="20"/>
        </w:rPr>
        <w:br w:type="page"/>
      </w:r>
      <w:bookmarkStart w:id="357" w:name="招标文件08章投标文件格式"/>
      <w:bookmarkEnd w:id="357"/>
    </w:p>
    <w:p>
      <w:pPr>
        <w:pStyle w:val="229"/>
        <w:rPr>
          <w:rFonts w:ascii="宋体" w:hAnsi="宋体" w:cs="宋体"/>
          <w:sz w:val="44"/>
          <w:szCs w:val="44"/>
        </w:rPr>
      </w:pPr>
      <w:bookmarkStart w:id="358" w:name="_Toc287607865"/>
      <w:bookmarkStart w:id="359" w:name="_Toc287620812"/>
      <w:bookmarkStart w:id="360" w:name="_Toc300662173"/>
      <w:r>
        <w:rPr>
          <w:rFonts w:hint="eastAsia" w:ascii="宋体" w:hAnsi="宋体" w:cs="宋体"/>
          <w:sz w:val="44"/>
          <w:szCs w:val="44"/>
        </w:rPr>
        <w:t>第六章　</w:t>
      </w:r>
      <w:bookmarkStart w:id="361" w:name="_Toc387312479"/>
      <w:r>
        <w:rPr>
          <w:rFonts w:hint="eastAsia" w:ascii="宋体" w:hAnsi="宋体" w:cs="宋体"/>
          <w:sz w:val="44"/>
          <w:szCs w:val="44"/>
        </w:rPr>
        <w:t>技术标准和要求</w:t>
      </w:r>
      <w:bookmarkEnd w:id="361"/>
    </w:p>
    <w:p>
      <w:pPr>
        <w:rPr>
          <w:rFonts w:ascii="宋体" w:hAnsi="宋体" w:cs="宋体"/>
          <w:szCs w:val="20"/>
        </w:rPr>
      </w:pPr>
      <w:r>
        <w:rPr>
          <w:rFonts w:hint="eastAsia" w:ascii="宋体" w:hAnsi="宋体" w:cs="宋体"/>
          <w:szCs w:val="20"/>
        </w:rPr>
        <w:t>满足图纸技术要求和安博技术要求</w:t>
      </w:r>
      <w:r>
        <w:rPr>
          <w:rFonts w:hint="eastAsia" w:ascii="宋体" w:hAnsi="宋体" w:cs="宋体"/>
          <w:szCs w:val="20"/>
        </w:rPr>
        <w:br w:type="page"/>
      </w:r>
    </w:p>
    <w:p>
      <w:pPr>
        <w:rPr>
          <w:rFonts w:ascii="宋体" w:hAnsi="宋体" w:cs="宋体"/>
        </w:rPr>
      </w:pPr>
    </w:p>
    <w:p>
      <w:pPr>
        <w:pStyle w:val="2"/>
        <w:jc w:val="center"/>
        <w:rPr>
          <w:rFonts w:ascii="宋体" w:hAnsi="宋体" w:cs="宋体"/>
        </w:rPr>
      </w:pPr>
      <w:r>
        <w:rPr>
          <w:rFonts w:hint="eastAsia" w:ascii="宋体" w:hAnsi="宋体" w:cs="宋体"/>
        </w:rPr>
        <w:t>第七章　投标文件格式</w:t>
      </w:r>
      <w:bookmarkEnd w:id="358"/>
      <w:bookmarkEnd w:id="359"/>
      <w:bookmarkEnd w:id="360"/>
    </w:p>
    <w:p>
      <w:pPr>
        <w:ind w:firstLine="1120" w:firstLineChars="350"/>
        <w:rPr>
          <w:rFonts w:ascii="宋体" w:hAnsi="宋体" w:cs="宋体"/>
          <w:sz w:val="32"/>
          <w:szCs w:val="32"/>
        </w:rPr>
      </w:pPr>
    </w:p>
    <w:p>
      <w:pPr>
        <w:pStyle w:val="3"/>
        <w:jc w:val="center"/>
        <w:rPr>
          <w:rFonts w:ascii="宋体" w:hAnsi="宋体" w:cs="宋体"/>
          <w:bCs w:val="0"/>
        </w:rPr>
      </w:pPr>
      <w:r>
        <w:rPr>
          <w:rFonts w:hint="eastAsia" w:ascii="宋体" w:hAnsi="宋体" w:cs="宋体"/>
          <w:szCs w:val="20"/>
        </w:rPr>
        <w:br w:type="page"/>
      </w: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8"/>
          <w:szCs w:val="28"/>
        </w:rPr>
      </w:pP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8"/>
          <w:szCs w:val="28"/>
        </w:rPr>
      </w:pPr>
    </w:p>
    <w:p>
      <w:pPr>
        <w:tabs>
          <w:tab w:val="left" w:pos="3600"/>
          <w:tab w:val="left" w:pos="4480"/>
          <w:tab w:val="left" w:pos="5360"/>
        </w:tabs>
        <w:autoSpaceDE w:val="0"/>
        <w:autoSpaceDN w:val="0"/>
        <w:adjustRightInd w:val="0"/>
        <w:snapToGrid w:val="0"/>
        <w:spacing w:line="360" w:lineRule="auto"/>
        <w:rPr>
          <w:rFonts w:ascii="宋体" w:hAnsi="宋体" w:cs="宋体"/>
          <w:kern w:val="0"/>
          <w:sz w:val="28"/>
          <w:szCs w:val="28"/>
        </w:rPr>
      </w:pPr>
    </w:p>
    <w:p>
      <w:pPr>
        <w:tabs>
          <w:tab w:val="left" w:pos="3600"/>
          <w:tab w:val="left" w:pos="4480"/>
          <w:tab w:val="left" w:pos="5360"/>
        </w:tabs>
        <w:autoSpaceDE w:val="0"/>
        <w:autoSpaceDN w:val="0"/>
        <w:adjustRightInd w:val="0"/>
        <w:snapToGrid w:val="0"/>
        <w:spacing w:line="360" w:lineRule="auto"/>
        <w:rPr>
          <w:rFonts w:ascii="宋体" w:hAnsi="宋体" w:cs="宋体"/>
          <w:kern w:val="0"/>
          <w:sz w:val="28"/>
          <w:szCs w:val="28"/>
          <w:u w:val="single"/>
        </w:rPr>
      </w:pPr>
    </w:p>
    <w:p>
      <w:pPr>
        <w:tabs>
          <w:tab w:val="left" w:pos="2980"/>
          <w:tab w:val="left" w:pos="5940"/>
        </w:tabs>
        <w:autoSpaceDE w:val="0"/>
        <w:autoSpaceDN w:val="0"/>
        <w:adjustRightInd w:val="0"/>
        <w:snapToGrid w:val="0"/>
        <w:spacing w:line="360" w:lineRule="auto"/>
        <w:jc w:val="center"/>
        <w:rPr>
          <w:rFonts w:ascii="宋体" w:hAnsi="宋体" w:cs="宋体"/>
          <w:b/>
          <w:sz w:val="44"/>
          <w:szCs w:val="32"/>
        </w:rPr>
      </w:pPr>
      <w:r>
        <w:rPr>
          <w:rFonts w:hint="eastAsia" w:ascii="宋体" w:hAnsi="宋体" w:cs="宋体"/>
          <w:b/>
          <w:sz w:val="44"/>
          <w:szCs w:val="32"/>
        </w:rPr>
        <w:t>安博重庆空港物流中心项目II期工程</w:t>
      </w:r>
    </w:p>
    <w:p>
      <w:pPr>
        <w:tabs>
          <w:tab w:val="left" w:pos="2980"/>
          <w:tab w:val="left" w:pos="5940"/>
        </w:tabs>
        <w:autoSpaceDE w:val="0"/>
        <w:autoSpaceDN w:val="0"/>
        <w:adjustRightInd w:val="0"/>
        <w:snapToGrid w:val="0"/>
        <w:spacing w:line="360" w:lineRule="auto"/>
        <w:jc w:val="center"/>
        <w:rPr>
          <w:rFonts w:ascii="宋体" w:hAnsi="宋体" w:cs="宋体"/>
          <w:kern w:val="0"/>
          <w:sz w:val="44"/>
          <w:szCs w:val="44"/>
        </w:rPr>
      </w:pPr>
      <w:r>
        <w:rPr>
          <w:rFonts w:hint="eastAsia" w:ascii="宋体" w:hAnsi="宋体" w:cs="宋体"/>
          <w:b/>
          <w:sz w:val="44"/>
          <w:szCs w:val="32"/>
        </w:rPr>
        <w:t>栏杆及楼梯采购</w:t>
      </w: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宋体"/>
          <w:b/>
          <w:kern w:val="0"/>
          <w:sz w:val="56"/>
          <w:szCs w:val="84"/>
        </w:rPr>
      </w:pPr>
      <w:r>
        <w:rPr>
          <w:rFonts w:hint="eastAsia" w:ascii="宋体" w:hAnsi="宋体" w:cs="宋体"/>
          <w:b/>
          <w:kern w:val="0"/>
          <w:sz w:val="56"/>
          <w:szCs w:val="84"/>
        </w:rPr>
        <w:t>投标文件</w:t>
      </w:r>
    </w:p>
    <w:p>
      <w:pPr>
        <w:autoSpaceDE w:val="0"/>
        <w:autoSpaceDN w:val="0"/>
        <w:adjustRightInd w:val="0"/>
        <w:snapToGrid w:val="0"/>
        <w:spacing w:line="360" w:lineRule="auto"/>
        <w:jc w:val="left"/>
        <w:rPr>
          <w:rFonts w:ascii="宋体" w:hAnsi="宋体" w:cs="宋体"/>
          <w:kern w:val="0"/>
          <w:sz w:val="16"/>
          <w:szCs w:val="16"/>
        </w:rPr>
      </w:pPr>
    </w:p>
    <w:p>
      <w:pPr>
        <w:autoSpaceDE w:val="0"/>
        <w:autoSpaceDN w:val="0"/>
        <w:adjustRightInd w:val="0"/>
        <w:snapToGrid w:val="0"/>
        <w:spacing w:line="360" w:lineRule="auto"/>
        <w:jc w:val="center"/>
        <w:rPr>
          <w:rFonts w:ascii="宋体" w:hAnsi="宋体" w:cs="宋体"/>
          <w:b/>
          <w:kern w:val="0"/>
          <w:sz w:val="36"/>
          <w:szCs w:val="36"/>
        </w:rPr>
      </w:pPr>
      <w:r>
        <w:rPr>
          <w:rFonts w:hint="eastAsia" w:ascii="宋体" w:hAnsi="宋体" w:cs="宋体"/>
          <w:b/>
          <w:kern w:val="0"/>
          <w:sz w:val="36"/>
          <w:szCs w:val="36"/>
        </w:rPr>
        <w:t>投标函部分</w:t>
      </w: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投标人</w:t>
      </w:r>
      <w:r>
        <w:rPr>
          <w:rFonts w:hint="eastAsia" w:ascii="宋体" w:hAnsi="宋体" w:cs="宋体"/>
          <w:b/>
          <w:spacing w:val="1"/>
          <w:kern w:val="0"/>
          <w:sz w:val="28"/>
          <w:szCs w:val="28"/>
        </w:rPr>
        <w:t>：</w:t>
      </w:r>
      <w:r>
        <w:rPr>
          <w:rFonts w:hint="eastAsia" w:ascii="宋体" w:hAnsi="宋体" w:cs="宋体"/>
          <w:b/>
          <w:kern w:val="0"/>
          <w:sz w:val="28"/>
          <w:szCs w:val="28"/>
          <w:u w:val="single"/>
        </w:rPr>
        <w:t>　　　　 　　</w:t>
      </w:r>
      <w:r>
        <w:rPr>
          <w:rFonts w:hint="eastAsia" w:ascii="宋体" w:hAnsi="宋体" w:cs="宋体"/>
          <w:b/>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法定代表人或其委托代理人：</w:t>
      </w:r>
      <w:r>
        <w:rPr>
          <w:rFonts w:hint="eastAsia" w:ascii="宋体" w:hAnsi="宋体" w:cs="宋体"/>
          <w:b/>
          <w:kern w:val="0"/>
          <w:sz w:val="28"/>
          <w:szCs w:val="28"/>
          <w:u w:val="single"/>
        </w:rPr>
        <w:t>　　 　</w:t>
      </w:r>
      <w:r>
        <w:rPr>
          <w:rFonts w:hint="eastAsia" w:ascii="宋体" w:hAnsi="宋体" w:cs="宋体"/>
          <w:b/>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u w:val="single"/>
        </w:rPr>
        <w:t xml:space="preserve">     　</w:t>
      </w:r>
      <w:r>
        <w:rPr>
          <w:rFonts w:hint="eastAsia" w:ascii="宋体" w:hAnsi="宋体" w:cs="宋体"/>
          <w:b/>
          <w:kern w:val="0"/>
          <w:sz w:val="28"/>
          <w:szCs w:val="28"/>
        </w:rPr>
        <w:t>年月日</w:t>
      </w:r>
    </w:p>
    <w:p>
      <w:pPr>
        <w:autoSpaceDE w:val="0"/>
        <w:autoSpaceDN w:val="0"/>
        <w:adjustRightInd w:val="0"/>
        <w:snapToGrid w:val="0"/>
        <w:spacing w:line="360" w:lineRule="auto"/>
        <w:jc w:val="left"/>
        <w:rPr>
          <w:rFonts w:ascii="宋体" w:hAnsi="宋体" w:cs="宋体"/>
          <w:kern w:val="0"/>
          <w:sz w:val="24"/>
          <w:szCs w:val="21"/>
        </w:rPr>
      </w:pPr>
      <w:r>
        <w:rPr>
          <w:rFonts w:hint="eastAsia" w:ascii="宋体" w:hAnsi="宋体" w:cs="宋体"/>
          <w:kern w:val="0"/>
          <w:sz w:val="24"/>
          <w:szCs w:val="21"/>
        </w:rPr>
        <w:br w:type="page"/>
      </w:r>
    </w:p>
    <w:p>
      <w:pPr>
        <w:autoSpaceDE w:val="0"/>
        <w:autoSpaceDN w:val="0"/>
        <w:adjustRightInd w:val="0"/>
        <w:snapToGrid w:val="0"/>
        <w:spacing w:line="360" w:lineRule="auto"/>
        <w:jc w:val="center"/>
        <w:rPr>
          <w:rFonts w:ascii="宋体" w:hAnsi="宋体" w:cs="宋体"/>
          <w:b/>
          <w:kern w:val="0"/>
          <w:sz w:val="32"/>
          <w:szCs w:val="32"/>
        </w:rPr>
      </w:pPr>
      <w:r>
        <w:rPr>
          <w:rFonts w:hint="eastAsia" w:ascii="宋体" w:hAnsi="宋体" w:cs="宋体"/>
          <w:b/>
          <w:kern w:val="0"/>
          <w:sz w:val="32"/>
          <w:szCs w:val="32"/>
        </w:rPr>
        <w:t>目录</w:t>
      </w:r>
    </w:p>
    <w:p>
      <w:pPr>
        <w:autoSpaceDE w:val="0"/>
        <w:autoSpaceDN w:val="0"/>
        <w:adjustRightInd w:val="0"/>
        <w:snapToGrid w:val="0"/>
        <w:spacing w:line="360" w:lineRule="auto"/>
        <w:jc w:val="left"/>
        <w:rPr>
          <w:rFonts w:ascii="宋体" w:hAnsi="宋体" w:cs="宋体"/>
          <w:b/>
          <w:kern w:val="0"/>
          <w:sz w:val="24"/>
        </w:rPr>
      </w:pPr>
      <w:r>
        <w:rPr>
          <w:rFonts w:hint="eastAsia" w:ascii="宋体" w:hAnsi="宋体" w:cs="宋体"/>
          <w:b/>
          <w:kern w:val="0"/>
          <w:sz w:val="24"/>
        </w:rPr>
        <w:t>一、投标函部分</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（一）投标函</w:t>
      </w:r>
    </w:p>
    <w:p>
      <w:pPr>
        <w:tabs>
          <w:tab w:val="left" w:pos="2580"/>
          <w:tab w:val="left" w:pos="5940"/>
        </w:tabs>
        <w:autoSpaceDE w:val="0"/>
        <w:autoSpaceDN w:val="0"/>
        <w:adjustRightInd w:val="0"/>
        <w:snapToGrid w:val="0"/>
        <w:spacing w:line="360" w:lineRule="auto"/>
        <w:jc w:val="left"/>
        <w:rPr>
          <w:rFonts w:ascii="宋体" w:hAnsi="宋体" w:cs="宋体"/>
          <w:kern w:val="0"/>
          <w:sz w:val="24"/>
        </w:rPr>
      </w:pPr>
      <w:r>
        <w:rPr>
          <w:rFonts w:hint="eastAsia" w:ascii="宋体" w:hAnsi="宋体" w:cs="宋体"/>
          <w:kern w:val="0"/>
          <w:sz w:val="24"/>
        </w:rPr>
        <w:t>（二）投标报价表</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（三）相关认证、资质、保险等文件复印件</w:t>
      </w:r>
    </w:p>
    <w:p>
      <w:pPr>
        <w:autoSpaceDE w:val="0"/>
        <w:autoSpaceDN w:val="0"/>
        <w:adjustRightInd w:val="0"/>
        <w:snapToGrid w:val="0"/>
        <w:spacing w:line="360" w:lineRule="auto"/>
        <w:jc w:val="center"/>
        <w:rPr>
          <w:rFonts w:ascii="宋体" w:hAnsi="宋体" w:cs="宋体"/>
          <w:sz w:val="28"/>
        </w:rPr>
      </w:pPr>
      <w:r>
        <w:rPr>
          <w:rFonts w:hint="eastAsia" w:ascii="宋体" w:hAnsi="宋体" w:cs="宋体"/>
        </w:rPr>
        <w:br w:type="page"/>
      </w:r>
      <w:bookmarkStart w:id="362" w:name="_Toc287607867"/>
      <w:bookmarkStart w:id="363" w:name="_Toc277082643"/>
      <w:bookmarkStart w:id="364" w:name="_Toc224103495"/>
      <w:bookmarkStart w:id="365" w:name="_Toc287620814"/>
      <w:r>
        <w:rPr>
          <w:rFonts w:hint="eastAsia" w:ascii="宋体" w:hAnsi="宋体" w:cs="宋体"/>
          <w:sz w:val="28"/>
        </w:rPr>
        <w:t>（一）投标函</w:t>
      </w:r>
      <w:bookmarkEnd w:id="362"/>
      <w:bookmarkEnd w:id="363"/>
      <w:bookmarkEnd w:id="364"/>
      <w:bookmarkEnd w:id="365"/>
    </w:p>
    <w:p>
      <w:pPr>
        <w:tabs>
          <w:tab w:val="left" w:pos="2640"/>
        </w:tabs>
        <w:autoSpaceDE w:val="0"/>
        <w:autoSpaceDN w:val="0"/>
        <w:adjustRightInd w:val="0"/>
        <w:spacing w:line="220" w:lineRule="exact"/>
        <w:ind w:left="120" w:right="-20"/>
        <w:jc w:val="left"/>
        <w:rPr>
          <w:rFonts w:ascii="宋体" w:hAnsi="宋体" w:cs="宋体"/>
          <w:snapToGrid w:val="0"/>
          <w:kern w:val="0"/>
          <w:szCs w:val="21"/>
        </w:rPr>
      </w:pPr>
      <w:r>
        <w:rPr>
          <w:rFonts w:hint="eastAsia" w:ascii="宋体" w:hAnsi="宋体" w:cs="宋体"/>
          <w:snapToGrid w:val="0"/>
          <w:kern w:val="0"/>
          <w:szCs w:val="21"/>
        </w:rPr>
        <w:t>中机中联工程有限公司：</w:t>
      </w:r>
    </w:p>
    <w:p>
      <w:pPr>
        <w:autoSpaceDE w:val="0"/>
        <w:autoSpaceDN w:val="0"/>
        <w:adjustRightInd w:val="0"/>
        <w:spacing w:line="200" w:lineRule="exact"/>
        <w:jc w:val="left"/>
        <w:rPr>
          <w:rFonts w:ascii="宋体" w:hAnsi="宋体" w:cs="宋体"/>
          <w:snapToGrid w:val="0"/>
          <w:kern w:val="0"/>
          <w:sz w:val="20"/>
          <w:szCs w:val="20"/>
        </w:rPr>
      </w:pPr>
    </w:p>
    <w:p>
      <w:pPr>
        <w:tabs>
          <w:tab w:val="left" w:pos="2859"/>
          <w:tab w:val="left" w:pos="4480"/>
          <w:tab w:val="left" w:pos="5360"/>
        </w:tabs>
        <w:autoSpaceDE w:val="0"/>
        <w:autoSpaceDN w:val="0"/>
        <w:adjustRightInd w:val="0"/>
        <w:snapToGrid w:val="0"/>
        <w:spacing w:line="360" w:lineRule="auto"/>
        <w:ind w:firstLine="525" w:firstLineChars="250"/>
        <w:rPr>
          <w:rFonts w:ascii="宋体" w:hAnsi="宋体" w:cs="宋体"/>
          <w:kern w:val="0"/>
          <w:sz w:val="44"/>
          <w:szCs w:val="44"/>
        </w:rPr>
      </w:pPr>
      <w:r>
        <w:rPr>
          <w:rFonts w:hint="eastAsia" w:ascii="宋体" w:hAnsi="宋体" w:cs="宋体"/>
          <w:snapToGrid w:val="0"/>
          <w:kern w:val="0"/>
          <w:szCs w:val="21"/>
        </w:rPr>
        <w:t>1．我方已仔细研究了</w:t>
      </w:r>
      <w:r>
        <w:rPr>
          <w:rStyle w:val="99"/>
          <w:rFonts w:hint="default" w:ascii="宋体" w:hAnsi="宋体" w:eastAsia="宋体" w:cs="宋体"/>
          <w:u w:val="single"/>
        </w:rPr>
        <w:t>安博重庆空港物流中心项目II期工程-</w:t>
      </w:r>
      <w:r>
        <w:rPr>
          <w:rStyle w:val="99"/>
          <w:rFonts w:hint="default" w:ascii="宋体" w:hAnsi="宋体" w:cs="宋体"/>
          <w:u w:val="single"/>
        </w:rPr>
        <w:t>栏杆及楼梯</w:t>
      </w:r>
      <w:r>
        <w:rPr>
          <w:rStyle w:val="99"/>
          <w:rFonts w:hint="default" w:ascii="宋体" w:hAnsi="宋体" w:eastAsia="宋体" w:cs="宋体"/>
          <w:u w:val="single"/>
        </w:rPr>
        <w:t>采购招标文件</w:t>
      </w:r>
      <w:r>
        <w:rPr>
          <w:rFonts w:hint="eastAsia" w:ascii="宋体" w:hAnsi="宋体" w:cs="宋体"/>
          <w:snapToGrid w:val="0"/>
          <w:kern w:val="0"/>
          <w:szCs w:val="21"/>
        </w:rPr>
        <w:t>的全部内容，愿意以人民币（大写）元（¥</w:t>
      </w:r>
      <w:r>
        <w:rPr>
          <w:rFonts w:hint="eastAsia" w:ascii="宋体" w:hAnsi="宋体" w:cs="宋体"/>
          <w:snapToGrid w:val="0"/>
          <w:kern w:val="0"/>
          <w:szCs w:val="21"/>
          <w:u w:val="single"/>
        </w:rPr>
        <w:tab/>
      </w:r>
      <w:r>
        <w:rPr>
          <w:rFonts w:hint="eastAsia" w:ascii="宋体" w:hAnsi="宋体" w:cs="宋体"/>
          <w:snapToGrid w:val="0"/>
          <w:kern w:val="0"/>
          <w:szCs w:val="21"/>
        </w:rPr>
        <w:t>）的投标总报价，按招标文件要求工期，按合同约定实施和完成承包工程，修补工程中的任何缺陷，工程质量达到</w:t>
      </w:r>
      <w:r>
        <w:rPr>
          <w:rFonts w:hint="eastAsia" w:ascii="宋体" w:hAnsi="宋体" w:cs="宋体"/>
          <w:snapToGrid w:val="0"/>
          <w:kern w:val="0"/>
          <w:szCs w:val="21"/>
          <w:u w:val="single"/>
        </w:rPr>
        <w:t xml:space="preserve">招标文件要求，质量标准 </w:t>
      </w:r>
      <w:r>
        <w:rPr>
          <w:rFonts w:hint="eastAsia" w:ascii="宋体" w:hAnsi="宋体" w:cs="宋体"/>
          <w:snapToGrid w:val="0"/>
          <w:kern w:val="0"/>
          <w:szCs w:val="21"/>
        </w:rPr>
        <w:t>。</w:t>
      </w:r>
    </w:p>
    <w:p>
      <w:pPr>
        <w:autoSpaceDE w:val="0"/>
        <w:autoSpaceDN w:val="0"/>
        <w:adjustRightInd w:val="0"/>
        <w:spacing w:before="15"/>
        <w:ind w:left="540" w:right="-20"/>
        <w:jc w:val="left"/>
        <w:rPr>
          <w:rFonts w:ascii="宋体" w:hAnsi="宋体" w:cs="宋体"/>
          <w:snapToGrid w:val="0"/>
          <w:kern w:val="0"/>
          <w:szCs w:val="21"/>
        </w:rPr>
      </w:pPr>
      <w:r>
        <w:rPr>
          <w:rFonts w:hint="eastAsia" w:ascii="宋体" w:hAnsi="宋体" w:cs="宋体"/>
          <w:snapToGrid w:val="0"/>
          <w:kern w:val="0"/>
          <w:szCs w:val="21"/>
        </w:rPr>
        <w:t>2．我方承诺在投标有效期内不修改、撤销投标文件。</w:t>
      </w:r>
    </w:p>
    <w:p>
      <w:pPr>
        <w:autoSpaceDE w:val="0"/>
        <w:autoSpaceDN w:val="0"/>
        <w:adjustRightInd w:val="0"/>
        <w:spacing w:before="11" w:line="100" w:lineRule="exact"/>
        <w:jc w:val="left"/>
        <w:rPr>
          <w:rFonts w:ascii="宋体" w:hAnsi="宋体" w:cs="宋体"/>
          <w:snapToGrid w:val="0"/>
          <w:kern w:val="0"/>
          <w:sz w:val="10"/>
          <w:szCs w:val="10"/>
        </w:rPr>
      </w:pPr>
    </w:p>
    <w:p>
      <w:pPr>
        <w:autoSpaceDE w:val="0"/>
        <w:autoSpaceDN w:val="0"/>
        <w:adjustRightInd w:val="0"/>
        <w:ind w:left="540" w:right="-20"/>
        <w:jc w:val="left"/>
        <w:rPr>
          <w:rFonts w:ascii="宋体" w:hAnsi="宋体" w:cs="宋体"/>
          <w:snapToGrid w:val="0"/>
          <w:kern w:val="0"/>
          <w:szCs w:val="21"/>
        </w:rPr>
      </w:pPr>
      <w:r>
        <w:rPr>
          <w:rFonts w:hint="eastAsia" w:ascii="宋体" w:hAnsi="宋体" w:cs="宋体"/>
          <w:snapToGrid w:val="0"/>
          <w:kern w:val="0"/>
          <w:szCs w:val="21"/>
        </w:rPr>
        <w:t>3．如我方中标：</w:t>
      </w:r>
    </w:p>
    <w:p>
      <w:pPr>
        <w:autoSpaceDE w:val="0"/>
        <w:autoSpaceDN w:val="0"/>
        <w:adjustRightInd w:val="0"/>
        <w:spacing w:before="11" w:line="100" w:lineRule="exact"/>
        <w:jc w:val="left"/>
        <w:rPr>
          <w:rFonts w:ascii="宋体" w:hAnsi="宋体" w:cs="宋体"/>
          <w:snapToGrid w:val="0"/>
          <w:kern w:val="0"/>
          <w:sz w:val="10"/>
          <w:szCs w:val="10"/>
        </w:rPr>
      </w:pPr>
    </w:p>
    <w:p>
      <w:pPr>
        <w:autoSpaceDE w:val="0"/>
        <w:autoSpaceDN w:val="0"/>
        <w:adjustRightInd w:val="0"/>
        <w:ind w:left="838" w:right="-80"/>
        <w:jc w:val="left"/>
        <w:rPr>
          <w:rFonts w:ascii="宋体" w:hAnsi="宋体" w:cs="宋体"/>
          <w:snapToGrid w:val="0"/>
          <w:kern w:val="0"/>
          <w:szCs w:val="21"/>
        </w:rPr>
      </w:pPr>
      <w:r>
        <w:rPr>
          <w:rFonts w:hint="eastAsia" w:ascii="宋体" w:hAnsi="宋体" w:cs="宋体"/>
          <w:snapToGrid w:val="0"/>
          <w:kern w:val="0"/>
          <w:szCs w:val="21"/>
        </w:rPr>
        <w:t>（1）我方承诺在收到中标通知书后，在中标通知书规定的期限内与你方签订合同。</w:t>
      </w:r>
    </w:p>
    <w:p>
      <w:pPr>
        <w:autoSpaceDE w:val="0"/>
        <w:autoSpaceDN w:val="0"/>
        <w:adjustRightInd w:val="0"/>
        <w:spacing w:before="10" w:line="100" w:lineRule="exact"/>
        <w:jc w:val="left"/>
        <w:rPr>
          <w:rFonts w:ascii="宋体" w:hAnsi="宋体" w:cs="宋体"/>
          <w:snapToGrid w:val="0"/>
          <w:kern w:val="0"/>
          <w:sz w:val="10"/>
          <w:szCs w:val="10"/>
        </w:rPr>
      </w:pPr>
    </w:p>
    <w:p>
      <w:pPr>
        <w:autoSpaceDE w:val="0"/>
        <w:autoSpaceDN w:val="0"/>
        <w:adjustRightInd w:val="0"/>
        <w:ind w:left="838" w:right="-20"/>
        <w:jc w:val="left"/>
        <w:rPr>
          <w:rFonts w:ascii="宋体" w:hAnsi="宋体" w:cs="宋体"/>
          <w:snapToGrid w:val="0"/>
          <w:kern w:val="0"/>
          <w:szCs w:val="21"/>
        </w:rPr>
      </w:pPr>
      <w:r>
        <w:rPr>
          <w:rFonts w:hint="eastAsia" w:ascii="宋体" w:hAnsi="宋体" w:cs="宋体"/>
          <w:snapToGrid w:val="0"/>
          <w:kern w:val="0"/>
          <w:szCs w:val="21"/>
        </w:rPr>
        <w:t>（2）随同本投标函递交的投标函附录属于合同文件的组成部分。</w:t>
      </w:r>
    </w:p>
    <w:p>
      <w:pPr>
        <w:autoSpaceDE w:val="0"/>
        <w:autoSpaceDN w:val="0"/>
        <w:adjustRightInd w:val="0"/>
        <w:spacing w:before="11" w:line="100" w:lineRule="exact"/>
        <w:jc w:val="left"/>
        <w:rPr>
          <w:rFonts w:ascii="宋体" w:hAnsi="宋体" w:cs="宋体"/>
          <w:snapToGrid w:val="0"/>
          <w:kern w:val="0"/>
          <w:sz w:val="10"/>
          <w:szCs w:val="10"/>
        </w:rPr>
      </w:pPr>
    </w:p>
    <w:p>
      <w:pPr>
        <w:autoSpaceDE w:val="0"/>
        <w:autoSpaceDN w:val="0"/>
        <w:adjustRightInd w:val="0"/>
        <w:ind w:left="838" w:right="-20"/>
        <w:jc w:val="left"/>
        <w:rPr>
          <w:rFonts w:ascii="宋体" w:hAnsi="宋体" w:cs="宋体"/>
          <w:snapToGrid w:val="0"/>
          <w:kern w:val="0"/>
          <w:szCs w:val="21"/>
        </w:rPr>
      </w:pPr>
      <w:r>
        <w:rPr>
          <w:rFonts w:hint="eastAsia" w:ascii="宋体" w:hAnsi="宋体" w:cs="宋体"/>
          <w:snapToGrid w:val="0"/>
          <w:kern w:val="0"/>
          <w:szCs w:val="21"/>
        </w:rPr>
        <w:t>（3）我方承诺按照招标文件规定向你方递交履约担保。</w:t>
      </w:r>
    </w:p>
    <w:p>
      <w:pPr>
        <w:autoSpaceDE w:val="0"/>
        <w:autoSpaceDN w:val="0"/>
        <w:adjustRightInd w:val="0"/>
        <w:spacing w:before="11" w:line="100" w:lineRule="exact"/>
        <w:jc w:val="left"/>
        <w:rPr>
          <w:rFonts w:ascii="宋体" w:hAnsi="宋体" w:cs="宋体"/>
          <w:snapToGrid w:val="0"/>
          <w:kern w:val="0"/>
          <w:sz w:val="10"/>
          <w:szCs w:val="10"/>
        </w:rPr>
      </w:pPr>
    </w:p>
    <w:p>
      <w:pPr>
        <w:autoSpaceDE w:val="0"/>
        <w:autoSpaceDN w:val="0"/>
        <w:adjustRightInd w:val="0"/>
        <w:ind w:left="838" w:right="-20"/>
        <w:jc w:val="left"/>
        <w:rPr>
          <w:rFonts w:ascii="宋体" w:hAnsi="宋体" w:cs="宋体"/>
          <w:snapToGrid w:val="0"/>
          <w:kern w:val="0"/>
          <w:szCs w:val="21"/>
        </w:rPr>
      </w:pPr>
      <w:r>
        <w:rPr>
          <w:rFonts w:hint="eastAsia" w:ascii="宋体" w:hAnsi="宋体" w:cs="宋体"/>
          <w:snapToGrid w:val="0"/>
          <w:kern w:val="0"/>
          <w:szCs w:val="21"/>
        </w:rPr>
        <w:t>（4）我方承诺在合同约定的期限内完成并移交全部合同工程。</w:t>
      </w:r>
    </w:p>
    <w:p>
      <w:pPr>
        <w:autoSpaceDE w:val="0"/>
        <w:autoSpaceDN w:val="0"/>
        <w:adjustRightInd w:val="0"/>
        <w:spacing w:before="10" w:line="100" w:lineRule="exact"/>
        <w:jc w:val="left"/>
        <w:rPr>
          <w:rFonts w:ascii="宋体" w:hAnsi="宋体" w:cs="宋体"/>
          <w:snapToGrid w:val="0"/>
          <w:kern w:val="0"/>
          <w:sz w:val="10"/>
          <w:szCs w:val="10"/>
        </w:rPr>
      </w:pPr>
    </w:p>
    <w:p>
      <w:pPr>
        <w:autoSpaceDE w:val="0"/>
        <w:autoSpaceDN w:val="0"/>
        <w:adjustRightInd w:val="0"/>
        <w:spacing w:line="353" w:lineRule="auto"/>
        <w:ind w:left="120" w:right="-9" w:firstLine="420"/>
        <w:jc w:val="left"/>
        <w:rPr>
          <w:rFonts w:ascii="宋体" w:hAnsi="宋体" w:cs="宋体"/>
          <w:snapToGrid w:val="0"/>
          <w:kern w:val="0"/>
          <w:szCs w:val="21"/>
        </w:rPr>
      </w:pPr>
      <w:r>
        <w:rPr>
          <w:rFonts w:hint="eastAsia" w:ascii="宋体" w:hAnsi="宋体" w:cs="宋体"/>
          <w:snapToGrid w:val="0"/>
          <w:kern w:val="0"/>
          <w:szCs w:val="21"/>
        </w:rPr>
        <w:t>5．我方在此声明，所递交的投标文件及有关资料内容完整、真实和准确，且不存在第二章“投标人须知”第1.4.3项规定的任何一种情形。</w:t>
      </w:r>
    </w:p>
    <w:p>
      <w:pPr>
        <w:tabs>
          <w:tab w:val="left" w:pos="4940"/>
        </w:tabs>
        <w:autoSpaceDE w:val="0"/>
        <w:autoSpaceDN w:val="0"/>
        <w:adjustRightInd w:val="0"/>
        <w:ind w:left="540" w:right="-20"/>
        <w:jc w:val="left"/>
        <w:rPr>
          <w:rFonts w:ascii="宋体" w:hAnsi="宋体" w:cs="宋体"/>
          <w:snapToGrid w:val="0"/>
          <w:kern w:val="0"/>
          <w:szCs w:val="21"/>
        </w:rPr>
      </w:pPr>
      <w:r>
        <w:rPr>
          <w:rFonts w:hint="eastAsia" w:ascii="宋体" w:hAnsi="宋体" w:cs="宋体"/>
          <w:snapToGrid w:val="0"/>
          <w:kern w:val="0"/>
          <w:szCs w:val="21"/>
        </w:rPr>
        <w:t>6．</w:t>
      </w:r>
      <w:r>
        <w:rPr>
          <w:rFonts w:hint="eastAsia" w:ascii="宋体" w:hAnsi="宋体" w:cs="宋体"/>
          <w:snapToGrid w:val="0"/>
          <w:kern w:val="0"/>
          <w:szCs w:val="21"/>
          <w:u w:val="single"/>
        </w:rPr>
        <w:tab/>
      </w:r>
      <w:r>
        <w:rPr>
          <w:rFonts w:hint="eastAsia" w:ascii="宋体" w:hAnsi="宋体" w:cs="宋体"/>
          <w:snapToGrid w:val="0"/>
          <w:kern w:val="0"/>
          <w:szCs w:val="21"/>
        </w:rPr>
        <w:t>（其他补充说明）。</w:t>
      </w:r>
    </w:p>
    <w:p>
      <w:pPr>
        <w:tabs>
          <w:tab w:val="left" w:pos="7140"/>
          <w:tab w:val="left" w:pos="7560"/>
          <w:tab w:val="left" w:pos="8300"/>
        </w:tabs>
        <w:autoSpaceDE w:val="0"/>
        <w:autoSpaceDN w:val="0"/>
        <w:adjustRightInd w:val="0"/>
        <w:spacing w:line="370" w:lineRule="auto"/>
        <w:ind w:right="210" w:firstLine="1984" w:firstLineChars="945"/>
        <w:rPr>
          <w:rFonts w:ascii="宋体" w:hAnsi="宋体" w:cs="宋体"/>
          <w:snapToGrid w:val="0"/>
          <w:kern w:val="0"/>
          <w:szCs w:val="21"/>
        </w:rPr>
      </w:pPr>
    </w:p>
    <w:p>
      <w:pPr>
        <w:tabs>
          <w:tab w:val="left" w:pos="7140"/>
          <w:tab w:val="left" w:pos="7560"/>
          <w:tab w:val="left" w:pos="8300"/>
        </w:tabs>
        <w:autoSpaceDE w:val="0"/>
        <w:autoSpaceDN w:val="0"/>
        <w:adjustRightInd w:val="0"/>
        <w:spacing w:line="370" w:lineRule="auto"/>
        <w:ind w:right="210" w:firstLine="2835" w:firstLineChars="1350"/>
        <w:rPr>
          <w:rFonts w:ascii="宋体" w:hAnsi="宋体" w:cs="宋体"/>
          <w:snapToGrid w:val="0"/>
          <w:kern w:val="0"/>
          <w:szCs w:val="21"/>
        </w:rPr>
      </w:pPr>
    </w:p>
    <w:p>
      <w:pPr>
        <w:tabs>
          <w:tab w:val="left" w:pos="7140"/>
          <w:tab w:val="left" w:pos="7560"/>
          <w:tab w:val="left" w:pos="8300"/>
        </w:tabs>
        <w:autoSpaceDE w:val="0"/>
        <w:autoSpaceDN w:val="0"/>
        <w:adjustRightInd w:val="0"/>
        <w:spacing w:line="370" w:lineRule="auto"/>
        <w:ind w:right="210" w:firstLine="1984" w:firstLineChars="945"/>
        <w:rPr>
          <w:rFonts w:ascii="宋体" w:hAnsi="宋体" w:cs="宋体"/>
          <w:snapToGrid w:val="0"/>
          <w:kern w:val="0"/>
          <w:szCs w:val="21"/>
        </w:rPr>
      </w:pPr>
      <w:r>
        <w:rPr>
          <w:rFonts w:hint="eastAsia" w:ascii="宋体" w:hAnsi="宋体" w:cs="宋体"/>
          <w:snapToGrid w:val="0"/>
          <w:kern w:val="0"/>
          <w:szCs w:val="21"/>
        </w:rPr>
        <w:t>投标人：</w:t>
      </w:r>
      <w:r>
        <w:rPr>
          <w:rFonts w:hint="eastAsia" w:ascii="宋体" w:hAnsi="宋体" w:cs="宋体"/>
          <w:snapToGrid w:val="0"/>
          <w:kern w:val="0"/>
          <w:szCs w:val="21"/>
          <w:u w:val="single"/>
        </w:rPr>
        <w:t xml:space="preserve">                　　　　　     </w:t>
      </w:r>
      <w:r>
        <w:rPr>
          <w:rFonts w:hint="eastAsia" w:ascii="宋体" w:hAnsi="宋体" w:cs="宋体"/>
          <w:snapToGrid w:val="0"/>
          <w:kern w:val="0"/>
          <w:szCs w:val="21"/>
        </w:rPr>
        <w:t>（盖单位章）</w:t>
      </w:r>
    </w:p>
    <w:p>
      <w:pPr>
        <w:tabs>
          <w:tab w:val="left" w:pos="7140"/>
          <w:tab w:val="left" w:pos="7560"/>
          <w:tab w:val="left" w:pos="8300"/>
        </w:tabs>
        <w:autoSpaceDE w:val="0"/>
        <w:autoSpaceDN w:val="0"/>
        <w:adjustRightInd w:val="0"/>
        <w:spacing w:line="370" w:lineRule="auto"/>
        <w:ind w:right="210" w:firstLine="1995" w:firstLineChars="950"/>
        <w:rPr>
          <w:rFonts w:ascii="宋体" w:hAnsi="宋体" w:cs="宋体"/>
          <w:snapToGrid w:val="0"/>
          <w:kern w:val="0"/>
          <w:szCs w:val="21"/>
        </w:rPr>
      </w:pPr>
      <w:r>
        <w:rPr>
          <w:rFonts w:hint="eastAsia" w:ascii="宋体" w:hAnsi="宋体" w:cs="宋体"/>
          <w:snapToGrid w:val="0"/>
          <w:kern w:val="0"/>
          <w:szCs w:val="21"/>
        </w:rPr>
        <w:t>法定代表人或其委托代理人：</w:t>
      </w:r>
      <w:r>
        <w:rPr>
          <w:rFonts w:hint="eastAsia" w:ascii="宋体" w:hAnsi="宋体" w:cs="宋体"/>
          <w:snapToGrid w:val="0"/>
          <w:kern w:val="0"/>
          <w:szCs w:val="21"/>
          <w:u w:val="single"/>
        </w:rPr>
        <w:tab/>
      </w:r>
      <w:r>
        <w:rPr>
          <w:rFonts w:hint="eastAsia" w:ascii="宋体" w:hAnsi="宋体" w:cs="宋体"/>
          <w:snapToGrid w:val="0"/>
          <w:kern w:val="0"/>
          <w:szCs w:val="21"/>
        </w:rPr>
        <w:t>（签字）</w:t>
      </w:r>
    </w:p>
    <w:p>
      <w:pPr>
        <w:pStyle w:val="4"/>
        <w:jc w:val="center"/>
        <w:rPr>
          <w:rFonts w:ascii="宋体" w:hAnsi="宋体" w:cs="宋体"/>
          <w:sz w:val="28"/>
        </w:rPr>
      </w:pPr>
      <w:bookmarkStart w:id="366" w:name="_Toc287607868"/>
      <w:bookmarkStart w:id="367" w:name="_Toc277082644"/>
      <w:bookmarkStart w:id="368" w:name="_Toc224103496"/>
      <w:bookmarkStart w:id="369" w:name="_Toc287620815"/>
    </w:p>
    <w:p>
      <w:pPr>
        <w:pStyle w:val="4"/>
        <w:jc w:val="center"/>
        <w:rPr>
          <w:rFonts w:ascii="宋体" w:hAnsi="宋体" w:cs="宋体"/>
          <w:sz w:val="28"/>
        </w:rPr>
      </w:pPr>
    </w:p>
    <w:bookmarkEnd w:id="366"/>
    <w:bookmarkEnd w:id="367"/>
    <w:bookmarkEnd w:id="368"/>
    <w:bookmarkEnd w:id="369"/>
    <w:p>
      <w:pPr>
        <w:tabs>
          <w:tab w:val="left" w:pos="7140"/>
          <w:tab w:val="left" w:pos="7560"/>
          <w:tab w:val="left" w:pos="8300"/>
        </w:tabs>
        <w:autoSpaceDE w:val="0"/>
        <w:autoSpaceDN w:val="0"/>
        <w:adjustRightInd w:val="0"/>
        <w:spacing w:line="370" w:lineRule="auto"/>
        <w:ind w:right="210" w:firstLine="1995" w:firstLineChars="950"/>
        <w:rPr>
          <w:rFonts w:ascii="宋体" w:hAnsi="宋体" w:cs="宋体"/>
          <w:snapToGrid w:val="0"/>
          <w:kern w:val="0"/>
          <w:szCs w:val="21"/>
        </w:rPr>
      </w:pPr>
    </w:p>
    <w:p>
      <w:pPr>
        <w:rPr>
          <w:rFonts w:ascii="宋体" w:hAnsi="宋体" w:cs="宋体"/>
          <w:snapToGrid w:val="0"/>
        </w:rPr>
      </w:pPr>
      <w:r>
        <w:rPr>
          <w:rFonts w:hint="eastAsia" w:ascii="宋体" w:hAnsi="宋体" w:cs="宋体"/>
          <w:snapToGrid w:val="0"/>
        </w:rPr>
        <w:br w:type="page"/>
      </w:r>
    </w:p>
    <w:p>
      <w:pPr>
        <w:widowControl/>
        <w:jc w:val="left"/>
        <w:rPr>
          <w:rFonts w:ascii="宋体" w:hAnsi="宋体" w:cs="仿宋"/>
          <w:sz w:val="24"/>
        </w:rPr>
      </w:pPr>
      <w:r>
        <w:rPr>
          <w:rFonts w:hint="eastAsia" w:ascii="宋体" w:hAnsi="宋体" w:cs="仿宋"/>
          <w:sz w:val="24"/>
        </w:rPr>
        <w:t>附件1：授权委托书</w:t>
      </w: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8"/>
          <w:szCs w:val="28"/>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kern w:val="0"/>
          <w:sz w:val="28"/>
          <w:szCs w:val="28"/>
        </w:rPr>
        <w:t>授权委托书</w:t>
      </w:r>
    </w:p>
    <w:p>
      <w:pPr>
        <w:autoSpaceDE w:val="0"/>
        <w:autoSpaceDN w:val="0"/>
        <w:adjustRightInd w:val="0"/>
        <w:snapToGrid w:val="0"/>
        <w:spacing w:line="360" w:lineRule="auto"/>
        <w:jc w:val="left"/>
        <w:rPr>
          <w:rFonts w:ascii="宋体" w:hAnsi="宋体" w:cs="MingLiU"/>
          <w:kern w:val="0"/>
          <w:sz w:val="12"/>
          <w:szCs w:val="12"/>
        </w:rPr>
      </w:pP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0"/>
          <w:szCs w:val="20"/>
        </w:rPr>
      </w:pP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MingLiU"/>
          <w:kern w:val="0"/>
          <w:szCs w:val="21"/>
        </w:rPr>
      </w:pPr>
      <w:r>
        <w:rPr>
          <w:rFonts w:hint="eastAsia" w:ascii="宋体" w:hAnsi="宋体" w:cs="MingLiU"/>
          <w:kern w:val="0"/>
          <w:szCs w:val="21"/>
        </w:rPr>
        <w:t>本人</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（姓名）系</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w:t>
      </w:r>
      <w:r>
        <w:rPr>
          <w:rFonts w:hint="eastAsia" w:ascii="宋体" w:hAnsi="宋体" w:cs="MingLiU"/>
          <w:spacing w:val="-1"/>
          <w:kern w:val="0"/>
          <w:szCs w:val="21"/>
        </w:rPr>
        <w:t>投</w:t>
      </w:r>
      <w:r>
        <w:rPr>
          <w:rFonts w:hint="eastAsia" w:ascii="宋体" w:hAnsi="宋体" w:cs="MingLiU"/>
          <w:kern w:val="0"/>
          <w:szCs w:val="21"/>
        </w:rPr>
        <w:t>标人名称</w:t>
      </w:r>
      <w:r>
        <w:rPr>
          <w:rFonts w:hint="eastAsia" w:ascii="宋体" w:hAnsi="宋体" w:cs="MingLiU"/>
          <w:spacing w:val="1"/>
          <w:kern w:val="0"/>
          <w:szCs w:val="21"/>
        </w:rPr>
        <w:t>）</w:t>
      </w:r>
      <w:r>
        <w:rPr>
          <w:rFonts w:hint="eastAsia" w:ascii="宋体" w:hAnsi="宋体" w:cs="MingLiU"/>
          <w:kern w:val="0"/>
          <w:szCs w:val="21"/>
        </w:rPr>
        <w:t>的法定代</w:t>
      </w:r>
      <w:r>
        <w:rPr>
          <w:rFonts w:hint="eastAsia" w:ascii="宋体" w:hAnsi="宋体" w:cs="MingLiU"/>
          <w:spacing w:val="1"/>
          <w:kern w:val="0"/>
          <w:szCs w:val="21"/>
        </w:rPr>
        <w:t>表</w:t>
      </w:r>
      <w:r>
        <w:rPr>
          <w:rFonts w:hint="eastAsia" w:ascii="宋体" w:hAnsi="宋体" w:cs="MingLiU"/>
          <w:kern w:val="0"/>
          <w:szCs w:val="21"/>
        </w:rPr>
        <w:t>人，现委托</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u w:val="single"/>
        </w:rPr>
        <w:t xml:space="preserve">     </w:t>
      </w:r>
      <w:r>
        <w:rPr>
          <w:rFonts w:hint="eastAsia" w:ascii="宋体" w:hAnsi="宋体" w:cs="MingLiU"/>
          <w:kern w:val="0"/>
          <w:szCs w:val="21"/>
        </w:rPr>
        <w:t>为我方代理人。代理人根据授权，以我方名义签署、澄清、说明、补正、递交、撤回、</w:t>
      </w:r>
      <w:r>
        <w:rPr>
          <w:rFonts w:ascii="宋体" w:hAnsi="宋体"/>
          <w:kern w:val="0"/>
          <w:szCs w:val="21"/>
        </w:rPr>
        <w:t xml:space="preserve"> </w:t>
      </w:r>
      <w:r>
        <w:rPr>
          <w:rFonts w:hint="eastAsia" w:ascii="宋体" w:hAnsi="宋体" w:cs="MingLiU"/>
          <w:kern w:val="0"/>
          <w:szCs w:val="21"/>
        </w:rPr>
        <w:t>修改</w:t>
      </w:r>
      <w:r>
        <w:rPr>
          <w:rFonts w:ascii="宋体" w:hAnsi="宋体"/>
          <w:kern w:val="0"/>
          <w:szCs w:val="21"/>
          <w:u w:val="single"/>
        </w:rPr>
        <w:t xml:space="preserve"> </w:t>
      </w:r>
      <w:r>
        <w:rPr>
          <w:rFonts w:hint="eastAsia" w:ascii="宋体" w:hAnsi="宋体"/>
          <w:kern w:val="0"/>
          <w:szCs w:val="21"/>
          <w:u w:val="single"/>
        </w:rPr>
        <w:t>安博重庆空港物流中心项目II期工程栏杆及楼梯采购</w:t>
      </w:r>
      <w:r>
        <w:rPr>
          <w:rFonts w:hint="eastAsia" w:ascii="宋体" w:hAnsi="宋体" w:cs="MingLiU"/>
          <w:kern w:val="0"/>
          <w:szCs w:val="21"/>
        </w:rPr>
        <w:t>投标文件、商务（合同）谈判、签定合同和处理有关事宜，其法律后果由我方承担。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kern w:val="0"/>
          <w:szCs w:val="21"/>
        </w:rPr>
      </w:pPr>
      <w:r>
        <w:rPr>
          <w:rFonts w:hint="eastAsia" w:ascii="宋体" w:hAnsi="宋体" w:cs="MingLiU"/>
          <w:kern w:val="0"/>
          <w:szCs w:val="21"/>
        </w:rPr>
        <w:t>委托</w:t>
      </w:r>
      <w:r>
        <w:rPr>
          <w:rFonts w:hint="eastAsia" w:ascii="宋体" w:hAnsi="宋体" w:cs="MingLiU"/>
          <w:spacing w:val="-1"/>
          <w:kern w:val="0"/>
          <w:szCs w:val="21"/>
        </w:rPr>
        <w:t>期</w:t>
      </w:r>
      <w:r>
        <w:rPr>
          <w:rFonts w:hint="eastAsia" w:ascii="宋体" w:hAnsi="宋体" w:cs="MingLiU"/>
          <w:kern w:val="0"/>
          <w:szCs w:val="21"/>
        </w:rPr>
        <w:t>限：</w:t>
      </w:r>
      <w:r>
        <w:rPr>
          <w:rFonts w:ascii="宋体" w:hAnsi="宋体" w:cs="MingLiU"/>
          <w:kern w:val="0"/>
          <w:szCs w:val="21"/>
          <w:u w:val="single"/>
        </w:rPr>
        <w:t xml:space="preserve">     120天     </w:t>
      </w:r>
      <w:r>
        <w:rPr>
          <w:rFonts w:hint="eastAsia" w:ascii="宋体" w:hAnsi="宋体" w:cs="MingLiU"/>
          <w:kern w:val="0"/>
          <w:szCs w:val="21"/>
        </w:rPr>
        <w:t>。</w:t>
      </w:r>
      <w:r>
        <w:rPr>
          <w:rFonts w:ascii="宋体" w:hAnsi="宋体"/>
          <w:kern w:val="0"/>
          <w:szCs w:val="21"/>
        </w:rPr>
        <w:t xml:space="preserve"> </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MingLiU"/>
          <w:kern w:val="0"/>
          <w:szCs w:val="21"/>
        </w:rPr>
      </w:pPr>
      <w:r>
        <w:rPr>
          <w:rFonts w:hint="eastAsia" w:ascii="宋体" w:hAnsi="宋体" w:cs="MingLiU"/>
          <w:kern w:val="0"/>
          <w:szCs w:val="21"/>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MingLiU"/>
          <w:kern w:val="0"/>
          <w:szCs w:val="21"/>
        </w:rPr>
      </w:pPr>
      <w:r>
        <w:rPr>
          <w:rFonts w:hint="eastAsia" w:ascii="宋体" w:hAnsi="宋体" w:cs="MingLiU"/>
          <w:kern w:val="0"/>
          <w:szCs w:val="21"/>
        </w:rPr>
        <w:t>附：法定代表人及委托代理人身份证复印件。</w:t>
      </w:r>
    </w:p>
    <w:p>
      <w:pPr>
        <w:autoSpaceDE w:val="0"/>
        <w:autoSpaceDN w:val="0"/>
        <w:adjustRightInd w:val="0"/>
        <w:snapToGrid w:val="0"/>
        <w:spacing w:line="360" w:lineRule="auto"/>
        <w:jc w:val="left"/>
        <w:rPr>
          <w:rFonts w:ascii="宋体" w:hAnsi="宋体" w:cs="MingLiU"/>
          <w:kern w:val="0"/>
          <w:sz w:val="12"/>
          <w:szCs w:val="12"/>
        </w:rPr>
      </w:pPr>
    </w:p>
    <w:p>
      <w:pPr>
        <w:autoSpaceDE w:val="0"/>
        <w:autoSpaceDN w:val="0"/>
        <w:adjustRightInd w:val="0"/>
        <w:snapToGrid w:val="0"/>
        <w:spacing w:line="360" w:lineRule="auto"/>
        <w:jc w:val="left"/>
        <w:rPr>
          <w:rFonts w:ascii="宋体" w:hAnsi="宋体" w:cs="MingLiU"/>
          <w:kern w:val="0"/>
          <w:sz w:val="20"/>
          <w:szCs w:val="20"/>
        </w:rPr>
      </w:pPr>
    </w:p>
    <w:p>
      <w:pPr>
        <w:tabs>
          <w:tab w:val="left" w:pos="4200"/>
          <w:tab w:val="left" w:pos="4620"/>
        </w:tabs>
        <w:autoSpaceDE w:val="0"/>
        <w:autoSpaceDN w:val="0"/>
        <w:adjustRightInd w:val="0"/>
        <w:snapToGrid w:val="0"/>
        <w:spacing w:line="360" w:lineRule="auto"/>
        <w:ind w:firstLine="1694"/>
        <w:jc w:val="left"/>
        <w:rPr>
          <w:rFonts w:ascii="宋体" w:hAnsi="宋体"/>
          <w:kern w:val="0"/>
          <w:szCs w:val="21"/>
        </w:rPr>
      </w:pPr>
      <w:r>
        <w:rPr>
          <w:rFonts w:hint="eastAsia" w:ascii="宋体" w:hAnsi="宋体" w:cs="MingLiU"/>
          <w:kern w:val="0"/>
          <w:szCs w:val="21"/>
        </w:rPr>
        <w:t>投</w:t>
      </w:r>
      <w:r>
        <w:rPr>
          <w:rFonts w:ascii="宋体" w:hAnsi="宋体" w:cs="MingLiU"/>
          <w:kern w:val="0"/>
          <w:szCs w:val="21"/>
        </w:rPr>
        <w:t xml:space="preserve">  </w:t>
      </w:r>
      <w:r>
        <w:rPr>
          <w:rFonts w:hint="eastAsia" w:ascii="宋体" w:hAnsi="宋体" w:cs="MingLiU"/>
          <w:kern w:val="0"/>
          <w:szCs w:val="21"/>
        </w:rPr>
        <w:t>标</w:t>
      </w:r>
      <w:r>
        <w:rPr>
          <w:rFonts w:ascii="宋体" w:hAnsi="宋体" w:cs="MingLiU"/>
          <w:kern w:val="0"/>
          <w:szCs w:val="21"/>
        </w:rPr>
        <w:t xml:space="preserve">  </w:t>
      </w:r>
      <w:r>
        <w:rPr>
          <w:rFonts w:hint="eastAsia" w:ascii="宋体" w:hAnsi="宋体" w:cs="MingLiU"/>
          <w:kern w:val="0"/>
          <w:szCs w:val="21"/>
        </w:rPr>
        <w:t>人：</w:t>
      </w:r>
      <w:r>
        <w:rPr>
          <w:rFonts w:ascii="宋体" w:hAnsi="宋体" w:cs="MingLiU"/>
          <w:kern w:val="0"/>
          <w:szCs w:val="21"/>
          <w:u w:val="single"/>
        </w:rPr>
        <w:t xml:space="preserve">              </w:t>
      </w:r>
      <w:r>
        <w:rPr>
          <w:rFonts w:ascii="宋体" w:hAnsi="宋体"/>
          <w:kern w:val="0"/>
          <w:szCs w:val="21"/>
          <w:u w:val="single"/>
        </w:rPr>
        <w:tab/>
      </w:r>
      <w:r>
        <w:rPr>
          <w:rFonts w:ascii="宋体" w:hAnsi="宋体"/>
          <w:kern w:val="0"/>
          <w:szCs w:val="21"/>
          <w:u w:val="single"/>
        </w:rPr>
        <w:t xml:space="preserve">    </w:t>
      </w:r>
      <w:r>
        <w:rPr>
          <w:rFonts w:hint="eastAsia" w:ascii="宋体" w:hAnsi="宋体" w:cs="MingLiU"/>
          <w:kern w:val="0"/>
          <w:szCs w:val="21"/>
        </w:rPr>
        <w:t>（</w:t>
      </w:r>
      <w:r>
        <w:rPr>
          <w:rFonts w:hint="eastAsia" w:ascii="宋体" w:hAnsi="宋体" w:cs="MingLiU"/>
          <w:spacing w:val="-1"/>
          <w:kern w:val="0"/>
          <w:szCs w:val="21"/>
        </w:rPr>
        <w:t>盖</w:t>
      </w:r>
      <w:r>
        <w:rPr>
          <w:rFonts w:hint="eastAsia" w:ascii="宋体" w:hAnsi="宋体" w:cs="MingLiU"/>
          <w:kern w:val="0"/>
          <w:szCs w:val="21"/>
        </w:rPr>
        <w:t>单位章）</w:t>
      </w:r>
      <w:r>
        <w:rPr>
          <w:rFonts w:ascii="宋体" w:hAnsi="宋体"/>
          <w:kern w:val="0"/>
          <w:szCs w:val="21"/>
        </w:rPr>
        <w:t xml:space="preserve"> </w:t>
      </w:r>
    </w:p>
    <w:p>
      <w:pPr>
        <w:tabs>
          <w:tab w:val="left" w:pos="6300"/>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法定代表人：</w:t>
      </w:r>
      <w:r>
        <w:rPr>
          <w:rFonts w:ascii="宋体" w:hAnsi="宋体" w:cs="MingLiU"/>
          <w:kern w:val="0"/>
          <w:szCs w:val="21"/>
          <w:u w:val="single"/>
        </w:rPr>
        <w:t xml:space="preserve"> </w:t>
      </w:r>
      <w:r>
        <w:rPr>
          <w:rFonts w:ascii="宋体" w:hAnsi="宋体"/>
          <w:kern w:val="0"/>
          <w:szCs w:val="21"/>
          <w:u w:val="single"/>
        </w:rPr>
        <w:tab/>
      </w:r>
      <w:r>
        <w:rPr>
          <w:rFonts w:ascii="宋体" w:hAnsi="宋体"/>
          <w:kern w:val="0"/>
          <w:szCs w:val="21"/>
          <w:u w:val="single"/>
        </w:rPr>
        <w:tab/>
      </w:r>
      <w:r>
        <w:rPr>
          <w:rFonts w:hint="eastAsia" w:ascii="宋体" w:hAnsi="宋体" w:cs="MingLiU"/>
          <w:kern w:val="0"/>
          <w:szCs w:val="21"/>
        </w:rPr>
        <w:t>（签字）</w:t>
      </w:r>
    </w:p>
    <w:p>
      <w:pPr>
        <w:tabs>
          <w:tab w:val="left" w:pos="6765"/>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身份证号码：</w:t>
      </w:r>
      <w:r>
        <w:rPr>
          <w:rFonts w:ascii="宋体" w:hAnsi="宋体" w:cs="MingLiU"/>
          <w:kern w:val="0"/>
          <w:szCs w:val="21"/>
          <w:u w:val="single"/>
        </w:rPr>
        <w:t xml:space="preserve">                 </w:t>
      </w:r>
      <w:r>
        <w:rPr>
          <w:rFonts w:ascii="宋体" w:hAnsi="宋体"/>
          <w:kern w:val="0"/>
          <w:szCs w:val="21"/>
          <w:u w:val="single"/>
        </w:rPr>
        <w:tab/>
      </w:r>
    </w:p>
    <w:p>
      <w:pPr>
        <w:tabs>
          <w:tab w:val="left" w:pos="6720"/>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委托代理人：</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（签</w:t>
      </w:r>
      <w:r>
        <w:rPr>
          <w:rFonts w:hint="eastAsia" w:ascii="宋体" w:hAnsi="宋体" w:cs="MingLiU"/>
          <w:spacing w:val="-1"/>
          <w:kern w:val="0"/>
          <w:szCs w:val="21"/>
        </w:rPr>
        <w:t>字</w:t>
      </w:r>
      <w:r>
        <w:rPr>
          <w:rFonts w:hint="eastAsia" w:ascii="宋体" w:hAnsi="宋体" w:cs="MingLiU"/>
          <w:kern w:val="0"/>
          <w:szCs w:val="21"/>
        </w:rPr>
        <w:t>）</w:t>
      </w:r>
    </w:p>
    <w:p>
      <w:pPr>
        <w:tabs>
          <w:tab w:val="left" w:pos="6825"/>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身份证号码：</w:t>
      </w:r>
      <w:r>
        <w:rPr>
          <w:rFonts w:ascii="宋体" w:hAnsi="宋体" w:cs="MingLiU"/>
          <w:kern w:val="0"/>
          <w:szCs w:val="21"/>
          <w:u w:val="single"/>
        </w:rPr>
        <w:t xml:space="preserve"> </w:t>
      </w:r>
      <w:r>
        <w:rPr>
          <w:rFonts w:ascii="宋体" w:hAnsi="宋体"/>
          <w:kern w:val="0"/>
          <w:szCs w:val="21"/>
          <w:u w:val="single"/>
        </w:rPr>
        <w:tab/>
      </w: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0"/>
          <w:szCs w:val="20"/>
        </w:rPr>
      </w:pPr>
    </w:p>
    <w:p>
      <w:pPr>
        <w:autoSpaceDE w:val="0"/>
        <w:autoSpaceDN w:val="0"/>
        <w:adjustRightInd w:val="0"/>
        <w:snapToGrid w:val="0"/>
        <w:spacing w:line="360" w:lineRule="auto"/>
        <w:jc w:val="left"/>
        <w:rPr>
          <w:rFonts w:ascii="宋体" w:hAnsi="宋体" w:cs="MingLiU"/>
          <w:kern w:val="0"/>
          <w:sz w:val="28"/>
          <w:szCs w:val="28"/>
        </w:rPr>
      </w:pPr>
    </w:p>
    <w:p>
      <w:pPr>
        <w:tabs>
          <w:tab w:val="left" w:pos="4005"/>
          <w:tab w:val="left" w:pos="4100"/>
          <w:tab w:val="left" w:pos="5040"/>
        </w:tabs>
        <w:autoSpaceDE w:val="0"/>
        <w:autoSpaceDN w:val="0"/>
        <w:adjustRightInd w:val="0"/>
        <w:snapToGrid w:val="0"/>
        <w:spacing w:line="360" w:lineRule="auto"/>
        <w:ind w:firstLine="3780"/>
        <w:jc w:val="left"/>
        <w:rPr>
          <w:rFonts w:ascii="宋体" w:hAnsi="宋体" w:cs="MingLiU"/>
          <w:kern w:val="0"/>
          <w:szCs w:val="21"/>
        </w:rPr>
      </w:pP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年</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月</w:t>
      </w:r>
      <w:r>
        <w:rPr>
          <w:rFonts w:ascii="宋体" w:hAnsi="宋体" w:cs="MingLiU"/>
          <w:kern w:val="0"/>
          <w:szCs w:val="21"/>
          <w:u w:val="single"/>
        </w:rPr>
        <w:t xml:space="preserve"> </w:t>
      </w:r>
      <w:r>
        <w:rPr>
          <w:rFonts w:ascii="宋体" w:hAnsi="宋体"/>
          <w:kern w:val="0"/>
          <w:szCs w:val="21"/>
          <w:u w:val="single"/>
        </w:rPr>
        <w:tab/>
      </w:r>
      <w:r>
        <w:rPr>
          <w:rFonts w:hint="eastAsia" w:ascii="宋体" w:hAnsi="宋体" w:cs="MingLiU"/>
          <w:kern w:val="0"/>
          <w:szCs w:val="21"/>
        </w:rPr>
        <w:t>日</w:t>
      </w:r>
    </w:p>
    <w:p>
      <w:pPr>
        <w:spacing w:line="300" w:lineRule="auto"/>
        <w:ind w:left="1127" w:hanging="480"/>
        <w:jc w:val="center"/>
        <w:rPr>
          <w:rFonts w:ascii="宋体" w:hAnsi="宋体" w:cs="仿宋"/>
          <w:b/>
          <w:bCs/>
          <w:sz w:val="24"/>
        </w:rPr>
      </w:pPr>
    </w:p>
    <w:p>
      <w:pPr>
        <w:pStyle w:val="4"/>
        <w:jc w:val="center"/>
        <w:rPr>
          <w:rFonts w:ascii="宋体" w:hAnsi="宋体" w:cs="宋体"/>
          <w:sz w:val="28"/>
        </w:rPr>
      </w:pPr>
    </w:p>
    <w:p>
      <w:pPr>
        <w:pStyle w:val="4"/>
        <w:jc w:val="center"/>
        <w:rPr>
          <w:rFonts w:ascii="宋体" w:hAnsi="宋体" w:cs="宋体"/>
          <w:sz w:val="28"/>
        </w:rPr>
      </w:pPr>
    </w:p>
    <w:p>
      <w:pPr>
        <w:pStyle w:val="4"/>
        <w:jc w:val="center"/>
        <w:rPr>
          <w:rFonts w:ascii="宋体" w:hAnsi="宋体" w:cs="宋体"/>
          <w:sz w:val="28"/>
        </w:rPr>
      </w:pPr>
    </w:p>
    <w:p>
      <w:pPr>
        <w:pStyle w:val="4"/>
        <w:jc w:val="center"/>
        <w:rPr>
          <w:rFonts w:ascii="宋体" w:hAnsi="宋体" w:cs="宋体"/>
          <w:sz w:val="28"/>
        </w:rPr>
      </w:pPr>
    </w:p>
    <w:p>
      <w:pPr>
        <w:pStyle w:val="4"/>
        <w:jc w:val="center"/>
        <w:rPr>
          <w:rFonts w:ascii="宋体" w:hAnsi="宋体" w:cs="宋体"/>
        </w:rPr>
      </w:pPr>
      <w:r>
        <w:rPr>
          <w:rFonts w:hint="eastAsia" w:ascii="宋体" w:hAnsi="宋体" w:cs="宋体"/>
          <w:sz w:val="28"/>
        </w:rPr>
        <w:t>（二）投标报价表</w:t>
      </w:r>
    </w:p>
    <w:p>
      <w:pPr>
        <w:wordWrap w:val="0"/>
        <w:adjustRightInd w:val="0"/>
        <w:snapToGrid w:val="0"/>
        <w:spacing w:line="400" w:lineRule="exact"/>
        <w:ind w:firstLine="643" w:firstLineChars="200"/>
        <w:rPr>
          <w:rFonts w:ascii="宋体" w:hAnsi="宋体" w:cs="宋体"/>
          <w:b/>
          <w:sz w:val="32"/>
          <w:szCs w:val="32"/>
        </w:rPr>
      </w:pPr>
      <w:r>
        <w:rPr>
          <w:rFonts w:hint="eastAsia" w:ascii="宋体" w:hAnsi="宋体" w:cs="宋体"/>
          <w:b/>
          <w:sz w:val="32"/>
          <w:szCs w:val="32"/>
        </w:rPr>
        <w:t>详清单</w:t>
      </w: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ind w:firstLine="420" w:firstLineChars="200"/>
        <w:rPr>
          <w:rFonts w:ascii="宋体" w:hAnsi="宋体" w:cs="宋体"/>
          <w:bCs/>
          <w:szCs w:val="21"/>
        </w:rPr>
      </w:pPr>
    </w:p>
    <w:p>
      <w:pPr>
        <w:wordWrap w:val="0"/>
        <w:adjustRightInd w:val="0"/>
        <w:snapToGrid w:val="0"/>
        <w:spacing w:line="400" w:lineRule="exact"/>
        <w:rPr>
          <w:rFonts w:ascii="宋体" w:hAnsi="宋体" w:cs="宋体"/>
          <w:bCs/>
          <w:szCs w:val="21"/>
        </w:rPr>
      </w:pPr>
    </w:p>
    <w:p>
      <w:pPr>
        <w:tabs>
          <w:tab w:val="left" w:pos="7140"/>
          <w:tab w:val="left" w:pos="7560"/>
          <w:tab w:val="left" w:pos="8300"/>
        </w:tabs>
        <w:autoSpaceDE w:val="0"/>
        <w:autoSpaceDN w:val="0"/>
        <w:adjustRightInd w:val="0"/>
        <w:spacing w:line="370" w:lineRule="auto"/>
        <w:ind w:right="210" w:firstLine="1995" w:firstLineChars="950"/>
        <w:rPr>
          <w:rFonts w:ascii="宋体" w:hAnsi="宋体" w:cs="宋体"/>
          <w:snapToGrid w:val="0"/>
          <w:kern w:val="0"/>
          <w:szCs w:val="21"/>
        </w:rPr>
      </w:pPr>
    </w:p>
    <w:p>
      <w:pPr>
        <w:wordWrap w:val="0"/>
        <w:adjustRightInd w:val="0"/>
        <w:snapToGrid w:val="0"/>
        <w:spacing w:line="400" w:lineRule="exact"/>
        <w:ind w:firstLine="420" w:firstLineChars="200"/>
        <w:rPr>
          <w:rFonts w:ascii="宋体" w:hAnsi="宋体" w:cs="宋体"/>
          <w:bCs/>
          <w:szCs w:val="21"/>
        </w:rPr>
      </w:pPr>
      <w:r>
        <w:rPr>
          <w:rFonts w:hint="eastAsia" w:ascii="宋体" w:hAnsi="宋体" w:cs="宋体"/>
          <w:snapToGrid w:val="0"/>
        </w:rPr>
        <w:br w:type="page"/>
      </w:r>
    </w:p>
    <w:p>
      <w:pPr>
        <w:spacing w:line="360" w:lineRule="auto"/>
        <w:jc w:val="center"/>
        <w:rPr>
          <w:rFonts w:ascii="宋体" w:hAnsi="宋体" w:cs="宋体"/>
          <w:kern w:val="0"/>
          <w:sz w:val="24"/>
          <w:szCs w:val="21"/>
        </w:rPr>
      </w:pPr>
    </w:p>
    <w:p>
      <w:pPr>
        <w:autoSpaceDE w:val="0"/>
        <w:autoSpaceDN w:val="0"/>
        <w:adjustRightInd w:val="0"/>
        <w:spacing w:line="360" w:lineRule="auto"/>
        <w:ind w:right="-20"/>
        <w:jc w:val="center"/>
        <w:rPr>
          <w:rFonts w:ascii="宋体" w:hAnsi="宋体" w:cs="宋体"/>
          <w:b/>
          <w:bCs/>
          <w:kern w:val="0"/>
          <w:sz w:val="24"/>
        </w:rPr>
      </w:pPr>
      <w:r>
        <w:rPr>
          <w:rFonts w:hint="eastAsia" w:ascii="宋体" w:hAnsi="宋体" w:cs="宋体"/>
          <w:b/>
          <w:bCs/>
          <w:kern w:val="0"/>
          <w:sz w:val="24"/>
        </w:rPr>
        <w:t>（三）相关认证、资质、等文件复印件</w:t>
      </w: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jc w:val="left"/>
        <w:rPr>
          <w:rFonts w:ascii="宋体" w:hAnsi="宋体" w:cs="宋体"/>
          <w:sz w:val="24"/>
          <w:szCs w:val="44"/>
        </w:rPr>
      </w:pPr>
    </w:p>
    <w:sectPr>
      <w:footerReference r:id="rId25" w:type="default"/>
      <w:footerReference r:id="rId26" w:type="even"/>
      <w:pgSz w:w="11906" w:h="16838"/>
      <w:pgMar w:top="1418" w:right="1361"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YPE">
    <w:altName w:val="Times New Roman"/>
    <w:panose1 w:val="00000000000000000000"/>
    <w:charset w:val="00"/>
    <w:family w:val="roman"/>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方正书宋简体">
    <w:altName w:val="黑体"/>
    <w:panose1 w:val="00000000000000000000"/>
    <w:charset w:val="86"/>
    <w:family w:val="auto"/>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方正仿宋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p>
    <w:pPr>
      <w:pStyle w:val="3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1"/>
    </w:sdtPr>
    <w:sdtContent>
      <w:p>
        <w:pPr>
          <w:pStyle w:val="3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6"/>
    </w:sdtPr>
    <w:sdtContent>
      <w:p>
        <w:pPr>
          <w:pStyle w:val="3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7"/>
    </w:sdtPr>
    <w:sdtContent>
      <w:p>
        <w:pPr>
          <w:pStyle w:val="32"/>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3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8"/>
    </w:sdtPr>
    <w:sdtContent>
      <w:p>
        <w:pPr>
          <w:pStyle w:val="32"/>
          <w:jc w:val="center"/>
        </w:pPr>
        <w:r>
          <w:fldChar w:fldCharType="begin"/>
        </w:r>
        <w:r>
          <w:instrText xml:space="preserve"> PAGE   \* MERGEFORMAT </w:instrText>
        </w:r>
        <w:r>
          <w:fldChar w:fldCharType="separate"/>
        </w:r>
        <w:r>
          <w:rPr>
            <w:lang w:val="zh-CN"/>
          </w:rPr>
          <w:t>15</w:t>
        </w:r>
        <w:r>
          <w:rPr>
            <w:lang w:val="zh-CN"/>
          </w:rPr>
          <w:fldChar w:fldCharType="end"/>
        </w:r>
      </w:p>
    </w:sdtContent>
  </w:sdt>
  <w:p>
    <w:pPr>
      <w:pStyle w:val="3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84532"/>
    </w:sdtPr>
    <w:sdtContent>
      <w:p>
        <w:pPr>
          <w:pStyle w:val="32"/>
          <w:jc w:val="center"/>
        </w:pPr>
        <w:r>
          <w:fldChar w:fldCharType="begin"/>
        </w:r>
        <w:r>
          <w:instrText xml:space="preserve"> PAGE   \* MERGEFORMAT </w:instrText>
        </w:r>
        <w:r>
          <w:fldChar w:fldCharType="separate"/>
        </w:r>
        <w:r>
          <w:rPr>
            <w:lang w:val="zh-CN"/>
          </w:rPr>
          <w:t>17</w:t>
        </w:r>
        <w:r>
          <w:rPr>
            <w:lang w:val="zh-CN"/>
          </w:rPr>
          <w:fldChar w:fldCharType="end"/>
        </w:r>
      </w:p>
    </w:sdtContent>
  </w:sdt>
  <w:p>
    <w:pPr>
      <w:pStyle w:val="32"/>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9"/>
    </w:sdtPr>
    <w:sdtContent>
      <w:p>
        <w:pPr>
          <w:pStyle w:val="32"/>
          <w:jc w:val="center"/>
        </w:pPr>
        <w:r>
          <w:fldChar w:fldCharType="begin"/>
        </w:r>
        <w:r>
          <w:instrText xml:space="preserve"> PAGE   \* MERGEFORMAT </w:instrText>
        </w:r>
        <w:r>
          <w:fldChar w:fldCharType="separate"/>
        </w:r>
        <w:r>
          <w:rPr>
            <w:lang w:val="zh-CN"/>
          </w:rPr>
          <w:t>23</w:t>
        </w:r>
        <w:r>
          <w:rPr>
            <w:lang w:val="zh-CN"/>
          </w:rPr>
          <w:fldChar w:fldCharType="end"/>
        </w:r>
      </w:p>
    </w:sdtContent>
  </w:sdt>
  <w:p>
    <w:pPr>
      <w:pStyle w:val="32"/>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ind w:right="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fldChar w:fldCharType="begin"/>
    </w:r>
    <w:r>
      <w:instrText xml:space="preserve"> PAGE   \* MERGEFORMAT </w:instrText>
    </w:r>
    <w:r>
      <w:fldChar w:fldCharType="separate"/>
    </w:r>
    <w:r>
      <w:rPr>
        <w:lang w:val="zh-CN"/>
      </w:rPr>
      <w:t>27</w:t>
    </w:r>
    <w:r>
      <w:rPr>
        <w:lang w:val="zh-CN"/>
      </w:rPr>
      <w:fldChar w:fldCharType="end"/>
    </w:r>
  </w:p>
  <w:p>
    <w:pPr>
      <w:pStyle w:val="32"/>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fldChar w:fldCharType="begin"/>
    </w:r>
    <w:r>
      <w:instrText xml:space="preserve"> PAGE   \* MERGEFORMAT </w:instrText>
    </w:r>
    <w:r>
      <w:fldChar w:fldCharType="separate"/>
    </w:r>
    <w:r>
      <w:rPr>
        <w:lang w:val="zh-CN"/>
      </w:rPr>
      <w:t>29</w:t>
    </w:r>
    <w:r>
      <w:rPr>
        <w:lang w:val="zh-CN"/>
      </w:rPr>
      <w:fldChar w:fldCharType="end"/>
    </w:r>
  </w:p>
  <w:p>
    <w:pPr>
      <w:pStyle w:val="32"/>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1"/>
      </w:rPr>
    </w:pPr>
    <w:r>
      <w:fldChar w:fldCharType="begin"/>
    </w:r>
    <w:r>
      <w:rPr>
        <w:rStyle w:val="51"/>
      </w:rPr>
      <w:instrText xml:space="preserve">PAGE  </w:instrText>
    </w:r>
    <w:r>
      <w:fldChar w:fldCharType="end"/>
    </w:r>
  </w:p>
  <w:p>
    <w:pPr>
      <w:pStyle w:val="3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hint="eastAsia" w:ascii="宋体" w:hAnsi="宋体"/>
      </w:rPr>
      <w:t>安博重庆空港物流中心项目I期工程-栏杆及楼梯采购招标文件</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decimal"/>
      <w:lvlText w:val="%1."/>
      <w:lvlJc w:val="left"/>
      <w:pPr>
        <w:tabs>
          <w:tab w:val="left" w:pos="420"/>
        </w:tabs>
        <w:ind w:left="420" w:hanging="420"/>
      </w:pPr>
      <w:rPr>
        <w:rFonts w:hint="eastAsia"/>
        <w:b/>
        <w:i w:val="0"/>
      </w:rPr>
    </w:lvl>
    <w:lvl w:ilvl="1" w:tentative="0">
      <w:start w:val="1"/>
      <w:numFmt w:val="decimal"/>
      <w:isLgl/>
      <w:lvlText w:val="%1.%2."/>
      <w:lvlJc w:val="left"/>
      <w:pPr>
        <w:tabs>
          <w:tab w:val="left" w:pos="720"/>
        </w:tabs>
        <w:ind w:left="720" w:hanging="720"/>
      </w:pPr>
      <w:rPr>
        <w:rFonts w:hint="eastAsia" w:ascii="宋体"/>
        <w:b/>
        <w:color w:val="auto"/>
        <w:sz w:val="21"/>
      </w:rPr>
    </w:lvl>
    <w:lvl w:ilvl="2" w:tentative="0">
      <w:start w:val="1"/>
      <w:numFmt w:val="decimal"/>
      <w:isLgl/>
      <w:lvlText w:val="%1.%2.%3."/>
      <w:lvlJc w:val="left"/>
      <w:pPr>
        <w:tabs>
          <w:tab w:val="left" w:pos="720"/>
        </w:tabs>
        <w:ind w:left="720" w:hanging="720"/>
      </w:pPr>
      <w:rPr>
        <w:rFonts w:hint="eastAsia" w:ascii="宋体"/>
        <w:b/>
        <w:color w:val="auto"/>
        <w:sz w:val="21"/>
      </w:rPr>
    </w:lvl>
    <w:lvl w:ilvl="3" w:tentative="0">
      <w:start w:val="1"/>
      <w:numFmt w:val="decimal"/>
      <w:isLgl/>
      <w:lvlText w:val="%1.%2.%3.%4."/>
      <w:lvlJc w:val="left"/>
      <w:pPr>
        <w:tabs>
          <w:tab w:val="left" w:pos="1080"/>
        </w:tabs>
        <w:ind w:left="1080" w:hanging="1080"/>
      </w:pPr>
      <w:rPr>
        <w:rFonts w:hint="eastAsia" w:ascii="宋体"/>
        <w:b/>
        <w:color w:val="auto"/>
        <w:sz w:val="21"/>
      </w:rPr>
    </w:lvl>
    <w:lvl w:ilvl="4" w:tentative="0">
      <w:start w:val="1"/>
      <w:numFmt w:val="decimal"/>
      <w:isLgl/>
      <w:lvlText w:val="%1.%2.%3.%4.%5."/>
      <w:lvlJc w:val="left"/>
      <w:pPr>
        <w:tabs>
          <w:tab w:val="left" w:pos="1080"/>
        </w:tabs>
        <w:ind w:left="1080" w:hanging="1080"/>
      </w:pPr>
      <w:rPr>
        <w:rFonts w:hint="eastAsia" w:ascii="宋体"/>
        <w:b/>
        <w:color w:val="auto"/>
        <w:sz w:val="21"/>
      </w:rPr>
    </w:lvl>
    <w:lvl w:ilvl="5" w:tentative="0">
      <w:start w:val="1"/>
      <w:numFmt w:val="decimal"/>
      <w:isLgl/>
      <w:lvlText w:val="%1.%2.%3.%4.%5.%6."/>
      <w:lvlJc w:val="left"/>
      <w:pPr>
        <w:tabs>
          <w:tab w:val="left" w:pos="1440"/>
        </w:tabs>
        <w:ind w:left="1440" w:hanging="1440"/>
      </w:pPr>
      <w:rPr>
        <w:rFonts w:hint="eastAsia" w:ascii="宋体"/>
        <w:b/>
        <w:color w:val="auto"/>
        <w:sz w:val="21"/>
      </w:rPr>
    </w:lvl>
    <w:lvl w:ilvl="6" w:tentative="0">
      <w:start w:val="1"/>
      <w:numFmt w:val="decimal"/>
      <w:isLgl/>
      <w:lvlText w:val="%1.%2.%3.%4.%5.%6.%7."/>
      <w:lvlJc w:val="left"/>
      <w:pPr>
        <w:tabs>
          <w:tab w:val="left" w:pos="1800"/>
        </w:tabs>
        <w:ind w:left="1800" w:hanging="1800"/>
      </w:pPr>
      <w:rPr>
        <w:rFonts w:hint="eastAsia" w:ascii="宋体"/>
        <w:b/>
        <w:color w:val="auto"/>
        <w:sz w:val="21"/>
      </w:rPr>
    </w:lvl>
    <w:lvl w:ilvl="7" w:tentative="0">
      <w:start w:val="1"/>
      <w:numFmt w:val="decimal"/>
      <w:isLgl/>
      <w:lvlText w:val="%1.%2.%3.%4.%5.%6.%7.%8."/>
      <w:lvlJc w:val="left"/>
      <w:pPr>
        <w:tabs>
          <w:tab w:val="left" w:pos="1800"/>
        </w:tabs>
        <w:ind w:left="1800" w:hanging="1800"/>
      </w:pPr>
      <w:rPr>
        <w:rFonts w:hint="eastAsia" w:ascii="宋体"/>
        <w:b/>
        <w:color w:val="auto"/>
        <w:sz w:val="21"/>
      </w:rPr>
    </w:lvl>
    <w:lvl w:ilvl="8" w:tentative="0">
      <w:start w:val="1"/>
      <w:numFmt w:val="decimal"/>
      <w:isLgl/>
      <w:lvlText w:val="%1.%2.%3.%4.%5.%6.%7.%8.%9."/>
      <w:lvlJc w:val="left"/>
      <w:pPr>
        <w:tabs>
          <w:tab w:val="left" w:pos="2160"/>
        </w:tabs>
        <w:ind w:left="2160" w:hanging="2160"/>
      </w:pPr>
      <w:rPr>
        <w:rFonts w:hint="eastAsia" w:ascii="宋体"/>
        <w:b/>
        <w:color w:val="auto"/>
        <w:sz w:val="21"/>
      </w:rPr>
    </w:lvl>
  </w:abstractNum>
  <w:abstractNum w:abstractNumId="1">
    <w:nsid w:val="00000008"/>
    <w:multiLevelType w:val="multilevel"/>
    <w:tmpl w:val="00000008"/>
    <w:lvl w:ilvl="0" w:tentative="0">
      <w:start w:val="1"/>
      <w:numFmt w:val="decimal"/>
      <w:lvlText w:val="%1．"/>
      <w:lvlJc w:val="left"/>
      <w:pPr>
        <w:ind w:left="675" w:hanging="360"/>
      </w:pPr>
      <w:rPr>
        <w:rFonts w:hint="default"/>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2">
    <w:nsid w:val="0000000A"/>
    <w:multiLevelType w:val="multilevel"/>
    <w:tmpl w:val="0000000A"/>
    <w:lvl w:ilvl="0" w:tentative="0">
      <w:start w:val="2"/>
      <w:numFmt w:val="japaneseCounting"/>
      <w:lvlText w:val="第%1条"/>
      <w:lvlJc w:val="left"/>
      <w:pPr>
        <w:tabs>
          <w:tab w:val="left" w:pos="1200"/>
        </w:tabs>
        <w:ind w:left="1200" w:hanging="120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multilevel"/>
    <w:tmpl w:val="0000000B"/>
    <w:lvl w:ilvl="0" w:tentative="0">
      <w:start w:val="6"/>
      <w:numFmt w:val="japaneseCounting"/>
      <w:lvlText w:val="第%1条"/>
      <w:lvlJc w:val="left"/>
      <w:pPr>
        <w:tabs>
          <w:tab w:val="left" w:pos="1200"/>
        </w:tabs>
        <w:ind w:left="1200" w:hanging="120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C"/>
    <w:multiLevelType w:val="multilevel"/>
    <w:tmpl w:val="0000000C"/>
    <w:lvl w:ilvl="0" w:tentative="0">
      <w:start w:val="2"/>
      <w:numFmt w:val="japaneseCounting"/>
      <w:lvlText w:val="（%1）"/>
      <w:lvlJc w:val="left"/>
      <w:pPr>
        <w:tabs>
          <w:tab w:val="left" w:pos="1200"/>
        </w:tabs>
        <w:ind w:left="1200" w:hanging="120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3CDB612B"/>
    <w:multiLevelType w:val="multilevel"/>
    <w:tmpl w:val="3CDB612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4A4"/>
    <w:rsid w:val="00000D88"/>
    <w:rsid w:val="00001938"/>
    <w:rsid w:val="00002360"/>
    <w:rsid w:val="000033D5"/>
    <w:rsid w:val="000049A2"/>
    <w:rsid w:val="0000634C"/>
    <w:rsid w:val="0000719F"/>
    <w:rsid w:val="0001111A"/>
    <w:rsid w:val="000123A4"/>
    <w:rsid w:val="00012A10"/>
    <w:rsid w:val="00012E50"/>
    <w:rsid w:val="00013DAF"/>
    <w:rsid w:val="00014010"/>
    <w:rsid w:val="000145E9"/>
    <w:rsid w:val="000152AC"/>
    <w:rsid w:val="00017229"/>
    <w:rsid w:val="00017362"/>
    <w:rsid w:val="00017639"/>
    <w:rsid w:val="000177AE"/>
    <w:rsid w:val="00017859"/>
    <w:rsid w:val="00017B78"/>
    <w:rsid w:val="00020C74"/>
    <w:rsid w:val="00020D63"/>
    <w:rsid w:val="00022BBC"/>
    <w:rsid w:val="00023987"/>
    <w:rsid w:val="00024A5A"/>
    <w:rsid w:val="00025132"/>
    <w:rsid w:val="00031580"/>
    <w:rsid w:val="0003189D"/>
    <w:rsid w:val="00031E3D"/>
    <w:rsid w:val="0003234E"/>
    <w:rsid w:val="00033476"/>
    <w:rsid w:val="000334F0"/>
    <w:rsid w:val="00034E05"/>
    <w:rsid w:val="000353DB"/>
    <w:rsid w:val="00035BD6"/>
    <w:rsid w:val="0003790B"/>
    <w:rsid w:val="000406A2"/>
    <w:rsid w:val="00040813"/>
    <w:rsid w:val="0004117C"/>
    <w:rsid w:val="00041CA1"/>
    <w:rsid w:val="000505EC"/>
    <w:rsid w:val="00051A9E"/>
    <w:rsid w:val="000533A6"/>
    <w:rsid w:val="00053B5E"/>
    <w:rsid w:val="0005480A"/>
    <w:rsid w:val="0005496E"/>
    <w:rsid w:val="00054C51"/>
    <w:rsid w:val="00055402"/>
    <w:rsid w:val="00057A3A"/>
    <w:rsid w:val="00060462"/>
    <w:rsid w:val="00060D34"/>
    <w:rsid w:val="00060D9E"/>
    <w:rsid w:val="00060E55"/>
    <w:rsid w:val="00061226"/>
    <w:rsid w:val="00062448"/>
    <w:rsid w:val="0006312B"/>
    <w:rsid w:val="000640C5"/>
    <w:rsid w:val="000641C4"/>
    <w:rsid w:val="00065946"/>
    <w:rsid w:val="00066931"/>
    <w:rsid w:val="00067036"/>
    <w:rsid w:val="0006765B"/>
    <w:rsid w:val="00067F34"/>
    <w:rsid w:val="00070645"/>
    <w:rsid w:val="000728DC"/>
    <w:rsid w:val="0007371C"/>
    <w:rsid w:val="00073FD4"/>
    <w:rsid w:val="00074317"/>
    <w:rsid w:val="000758A9"/>
    <w:rsid w:val="00076AB7"/>
    <w:rsid w:val="000772BA"/>
    <w:rsid w:val="000773B7"/>
    <w:rsid w:val="00080AE4"/>
    <w:rsid w:val="000821F3"/>
    <w:rsid w:val="000825DA"/>
    <w:rsid w:val="0008437D"/>
    <w:rsid w:val="000843DE"/>
    <w:rsid w:val="00084C2E"/>
    <w:rsid w:val="00085DFA"/>
    <w:rsid w:val="000861A4"/>
    <w:rsid w:val="00086483"/>
    <w:rsid w:val="00086653"/>
    <w:rsid w:val="00086A93"/>
    <w:rsid w:val="00086DC0"/>
    <w:rsid w:val="00087C1D"/>
    <w:rsid w:val="00087F4B"/>
    <w:rsid w:val="00091B68"/>
    <w:rsid w:val="000926BC"/>
    <w:rsid w:val="00092DA7"/>
    <w:rsid w:val="0009493E"/>
    <w:rsid w:val="000950D3"/>
    <w:rsid w:val="0009638B"/>
    <w:rsid w:val="000A0E6E"/>
    <w:rsid w:val="000A0FD6"/>
    <w:rsid w:val="000A1B76"/>
    <w:rsid w:val="000A2C67"/>
    <w:rsid w:val="000A2CFB"/>
    <w:rsid w:val="000A2EF5"/>
    <w:rsid w:val="000A30EE"/>
    <w:rsid w:val="000A3D06"/>
    <w:rsid w:val="000A4C70"/>
    <w:rsid w:val="000A5D23"/>
    <w:rsid w:val="000A61C1"/>
    <w:rsid w:val="000A7097"/>
    <w:rsid w:val="000A7218"/>
    <w:rsid w:val="000B0DD4"/>
    <w:rsid w:val="000B18E5"/>
    <w:rsid w:val="000B237A"/>
    <w:rsid w:val="000B31FB"/>
    <w:rsid w:val="000B364C"/>
    <w:rsid w:val="000B4914"/>
    <w:rsid w:val="000B5438"/>
    <w:rsid w:val="000B5C78"/>
    <w:rsid w:val="000B66A9"/>
    <w:rsid w:val="000B6F68"/>
    <w:rsid w:val="000B79FC"/>
    <w:rsid w:val="000C02AF"/>
    <w:rsid w:val="000C03E2"/>
    <w:rsid w:val="000C0534"/>
    <w:rsid w:val="000C12CA"/>
    <w:rsid w:val="000C267C"/>
    <w:rsid w:val="000C2B7B"/>
    <w:rsid w:val="000C39A1"/>
    <w:rsid w:val="000C560C"/>
    <w:rsid w:val="000C66A2"/>
    <w:rsid w:val="000C71CC"/>
    <w:rsid w:val="000C776C"/>
    <w:rsid w:val="000C7826"/>
    <w:rsid w:val="000C78BC"/>
    <w:rsid w:val="000C7DD8"/>
    <w:rsid w:val="000D07CE"/>
    <w:rsid w:val="000D16EB"/>
    <w:rsid w:val="000D1BAC"/>
    <w:rsid w:val="000D1CEE"/>
    <w:rsid w:val="000D286B"/>
    <w:rsid w:val="000D3B1F"/>
    <w:rsid w:val="000D493A"/>
    <w:rsid w:val="000D5CC6"/>
    <w:rsid w:val="000E041C"/>
    <w:rsid w:val="000E1A3E"/>
    <w:rsid w:val="000E2780"/>
    <w:rsid w:val="000E3C4E"/>
    <w:rsid w:val="000E5E03"/>
    <w:rsid w:val="000E62A5"/>
    <w:rsid w:val="000E656C"/>
    <w:rsid w:val="000E664F"/>
    <w:rsid w:val="000E6C4E"/>
    <w:rsid w:val="000E6E32"/>
    <w:rsid w:val="000E7320"/>
    <w:rsid w:val="000F0382"/>
    <w:rsid w:val="000F0AB1"/>
    <w:rsid w:val="000F16F7"/>
    <w:rsid w:val="000F4A95"/>
    <w:rsid w:val="000F4C4D"/>
    <w:rsid w:val="000F5552"/>
    <w:rsid w:val="000F722A"/>
    <w:rsid w:val="000F7864"/>
    <w:rsid w:val="000F793A"/>
    <w:rsid w:val="000F7A5E"/>
    <w:rsid w:val="0010065F"/>
    <w:rsid w:val="00100D57"/>
    <w:rsid w:val="00101AF7"/>
    <w:rsid w:val="00104DBD"/>
    <w:rsid w:val="001074D4"/>
    <w:rsid w:val="001128F0"/>
    <w:rsid w:val="00113BF4"/>
    <w:rsid w:val="00113E8C"/>
    <w:rsid w:val="0011459C"/>
    <w:rsid w:val="00115B79"/>
    <w:rsid w:val="00115E06"/>
    <w:rsid w:val="00116DDC"/>
    <w:rsid w:val="00117FC5"/>
    <w:rsid w:val="001209C5"/>
    <w:rsid w:val="00120E6E"/>
    <w:rsid w:val="00123C62"/>
    <w:rsid w:val="001244ED"/>
    <w:rsid w:val="00124B61"/>
    <w:rsid w:val="001258B1"/>
    <w:rsid w:val="00125CB1"/>
    <w:rsid w:val="00125FDC"/>
    <w:rsid w:val="0012667F"/>
    <w:rsid w:val="00126E2F"/>
    <w:rsid w:val="00127976"/>
    <w:rsid w:val="00130E54"/>
    <w:rsid w:val="001312AC"/>
    <w:rsid w:val="00131BCD"/>
    <w:rsid w:val="00132150"/>
    <w:rsid w:val="001321BD"/>
    <w:rsid w:val="001342D9"/>
    <w:rsid w:val="00135099"/>
    <w:rsid w:val="0013664B"/>
    <w:rsid w:val="001368B4"/>
    <w:rsid w:val="00136BC1"/>
    <w:rsid w:val="00137357"/>
    <w:rsid w:val="00137734"/>
    <w:rsid w:val="001400E2"/>
    <w:rsid w:val="00140B11"/>
    <w:rsid w:val="00141414"/>
    <w:rsid w:val="001458E9"/>
    <w:rsid w:val="00146114"/>
    <w:rsid w:val="00146749"/>
    <w:rsid w:val="001468C8"/>
    <w:rsid w:val="00150415"/>
    <w:rsid w:val="00150424"/>
    <w:rsid w:val="0015157F"/>
    <w:rsid w:val="00151629"/>
    <w:rsid w:val="001519FF"/>
    <w:rsid w:val="00151A5C"/>
    <w:rsid w:val="00152AF6"/>
    <w:rsid w:val="0015317E"/>
    <w:rsid w:val="00156149"/>
    <w:rsid w:val="00156EC4"/>
    <w:rsid w:val="00157432"/>
    <w:rsid w:val="00157FDD"/>
    <w:rsid w:val="001604B0"/>
    <w:rsid w:val="001609BF"/>
    <w:rsid w:val="00160D8B"/>
    <w:rsid w:val="00161405"/>
    <w:rsid w:val="00162316"/>
    <w:rsid w:val="00163C60"/>
    <w:rsid w:val="001652E6"/>
    <w:rsid w:val="00166FBA"/>
    <w:rsid w:val="00167B26"/>
    <w:rsid w:val="00167C5B"/>
    <w:rsid w:val="00170A4A"/>
    <w:rsid w:val="00170D57"/>
    <w:rsid w:val="00170F27"/>
    <w:rsid w:val="00170FA1"/>
    <w:rsid w:val="00171C5B"/>
    <w:rsid w:val="00172749"/>
    <w:rsid w:val="00172A27"/>
    <w:rsid w:val="0017383E"/>
    <w:rsid w:val="00174BCD"/>
    <w:rsid w:val="0017554A"/>
    <w:rsid w:val="00175962"/>
    <w:rsid w:val="001763A0"/>
    <w:rsid w:val="00177A6E"/>
    <w:rsid w:val="00180542"/>
    <w:rsid w:val="0018064A"/>
    <w:rsid w:val="00180C97"/>
    <w:rsid w:val="00180FCE"/>
    <w:rsid w:val="001815D2"/>
    <w:rsid w:val="00181A48"/>
    <w:rsid w:val="00182239"/>
    <w:rsid w:val="0018255D"/>
    <w:rsid w:val="0018308D"/>
    <w:rsid w:val="00184317"/>
    <w:rsid w:val="001846C0"/>
    <w:rsid w:val="00184A78"/>
    <w:rsid w:val="00185DC6"/>
    <w:rsid w:val="00186629"/>
    <w:rsid w:val="00186EA0"/>
    <w:rsid w:val="00190C53"/>
    <w:rsid w:val="00191A05"/>
    <w:rsid w:val="00193FBC"/>
    <w:rsid w:val="00194344"/>
    <w:rsid w:val="00194937"/>
    <w:rsid w:val="00195685"/>
    <w:rsid w:val="001961CA"/>
    <w:rsid w:val="001969EE"/>
    <w:rsid w:val="00196A7D"/>
    <w:rsid w:val="00197456"/>
    <w:rsid w:val="0019774E"/>
    <w:rsid w:val="00197A1F"/>
    <w:rsid w:val="001A2041"/>
    <w:rsid w:val="001A2332"/>
    <w:rsid w:val="001A437E"/>
    <w:rsid w:val="001A4DA5"/>
    <w:rsid w:val="001A4F63"/>
    <w:rsid w:val="001A5C53"/>
    <w:rsid w:val="001A60BA"/>
    <w:rsid w:val="001A6645"/>
    <w:rsid w:val="001A6F4C"/>
    <w:rsid w:val="001A7844"/>
    <w:rsid w:val="001B1BF3"/>
    <w:rsid w:val="001B1EBA"/>
    <w:rsid w:val="001B271B"/>
    <w:rsid w:val="001B3405"/>
    <w:rsid w:val="001B3743"/>
    <w:rsid w:val="001B43A9"/>
    <w:rsid w:val="001B4796"/>
    <w:rsid w:val="001B560E"/>
    <w:rsid w:val="001B7D85"/>
    <w:rsid w:val="001C028C"/>
    <w:rsid w:val="001C0CD7"/>
    <w:rsid w:val="001C1140"/>
    <w:rsid w:val="001C2188"/>
    <w:rsid w:val="001C21BF"/>
    <w:rsid w:val="001C3A8A"/>
    <w:rsid w:val="001C5B60"/>
    <w:rsid w:val="001C7385"/>
    <w:rsid w:val="001D2164"/>
    <w:rsid w:val="001D3E5F"/>
    <w:rsid w:val="001D4505"/>
    <w:rsid w:val="001D4D3B"/>
    <w:rsid w:val="001D5946"/>
    <w:rsid w:val="001D6DB1"/>
    <w:rsid w:val="001D6F21"/>
    <w:rsid w:val="001E0F69"/>
    <w:rsid w:val="001E3196"/>
    <w:rsid w:val="001E33F3"/>
    <w:rsid w:val="001E3CAF"/>
    <w:rsid w:val="001E4244"/>
    <w:rsid w:val="001E4843"/>
    <w:rsid w:val="001E4C29"/>
    <w:rsid w:val="001E5104"/>
    <w:rsid w:val="001E678D"/>
    <w:rsid w:val="001E6DB1"/>
    <w:rsid w:val="001E7FA0"/>
    <w:rsid w:val="001F1DF6"/>
    <w:rsid w:val="001F2358"/>
    <w:rsid w:val="001F3DBA"/>
    <w:rsid w:val="001F4B6D"/>
    <w:rsid w:val="001F5252"/>
    <w:rsid w:val="001F7C8A"/>
    <w:rsid w:val="00200765"/>
    <w:rsid w:val="00201168"/>
    <w:rsid w:val="00201F5A"/>
    <w:rsid w:val="00203072"/>
    <w:rsid w:val="00203851"/>
    <w:rsid w:val="00204B93"/>
    <w:rsid w:val="00206047"/>
    <w:rsid w:val="00210AEF"/>
    <w:rsid w:val="002111A0"/>
    <w:rsid w:val="0021151C"/>
    <w:rsid w:val="00211E73"/>
    <w:rsid w:val="0021258C"/>
    <w:rsid w:val="0021286F"/>
    <w:rsid w:val="002133DF"/>
    <w:rsid w:val="00214D6F"/>
    <w:rsid w:val="00215285"/>
    <w:rsid w:val="002155AE"/>
    <w:rsid w:val="00215A25"/>
    <w:rsid w:val="002170E6"/>
    <w:rsid w:val="00217324"/>
    <w:rsid w:val="00221E06"/>
    <w:rsid w:val="00222232"/>
    <w:rsid w:val="00222F66"/>
    <w:rsid w:val="002237A2"/>
    <w:rsid w:val="0022449C"/>
    <w:rsid w:val="00225619"/>
    <w:rsid w:val="00225A34"/>
    <w:rsid w:val="00225A8A"/>
    <w:rsid w:val="00226380"/>
    <w:rsid w:val="002268F9"/>
    <w:rsid w:val="002269EB"/>
    <w:rsid w:val="00227C53"/>
    <w:rsid w:val="00227F90"/>
    <w:rsid w:val="0023053F"/>
    <w:rsid w:val="00232D30"/>
    <w:rsid w:val="0023308A"/>
    <w:rsid w:val="00234327"/>
    <w:rsid w:val="00234696"/>
    <w:rsid w:val="00234E8C"/>
    <w:rsid w:val="002361D3"/>
    <w:rsid w:val="0024058C"/>
    <w:rsid w:val="00240A65"/>
    <w:rsid w:val="0024101D"/>
    <w:rsid w:val="0024106F"/>
    <w:rsid w:val="00241B73"/>
    <w:rsid w:val="00241EC4"/>
    <w:rsid w:val="00242A5B"/>
    <w:rsid w:val="00242BC6"/>
    <w:rsid w:val="0024307C"/>
    <w:rsid w:val="002430C6"/>
    <w:rsid w:val="002444CA"/>
    <w:rsid w:val="00245AEA"/>
    <w:rsid w:val="00246E06"/>
    <w:rsid w:val="00247811"/>
    <w:rsid w:val="00250317"/>
    <w:rsid w:val="00250B5C"/>
    <w:rsid w:val="00250FAE"/>
    <w:rsid w:val="002511D1"/>
    <w:rsid w:val="00251F71"/>
    <w:rsid w:val="00252BE4"/>
    <w:rsid w:val="00252C79"/>
    <w:rsid w:val="002550BE"/>
    <w:rsid w:val="00255170"/>
    <w:rsid w:val="002605BD"/>
    <w:rsid w:val="00264161"/>
    <w:rsid w:val="00265D2E"/>
    <w:rsid w:val="002663B2"/>
    <w:rsid w:val="00266A75"/>
    <w:rsid w:val="00266E66"/>
    <w:rsid w:val="00267B7E"/>
    <w:rsid w:val="002744B2"/>
    <w:rsid w:val="002745D2"/>
    <w:rsid w:val="00274832"/>
    <w:rsid w:val="00274A32"/>
    <w:rsid w:val="00276C11"/>
    <w:rsid w:val="0027724F"/>
    <w:rsid w:val="00277885"/>
    <w:rsid w:val="00280CC5"/>
    <w:rsid w:val="00281FAB"/>
    <w:rsid w:val="00282450"/>
    <w:rsid w:val="0028294C"/>
    <w:rsid w:val="00282BDC"/>
    <w:rsid w:val="0028649D"/>
    <w:rsid w:val="00286763"/>
    <w:rsid w:val="00286DE3"/>
    <w:rsid w:val="0028708C"/>
    <w:rsid w:val="00290D28"/>
    <w:rsid w:val="00290F35"/>
    <w:rsid w:val="002913C0"/>
    <w:rsid w:val="0029300C"/>
    <w:rsid w:val="00293464"/>
    <w:rsid w:val="0029403F"/>
    <w:rsid w:val="00294D33"/>
    <w:rsid w:val="00294DB2"/>
    <w:rsid w:val="00295C9C"/>
    <w:rsid w:val="00297912"/>
    <w:rsid w:val="00297A64"/>
    <w:rsid w:val="00297C94"/>
    <w:rsid w:val="002A019E"/>
    <w:rsid w:val="002A024D"/>
    <w:rsid w:val="002A0D59"/>
    <w:rsid w:val="002A11E4"/>
    <w:rsid w:val="002A2901"/>
    <w:rsid w:val="002A3235"/>
    <w:rsid w:val="002A3595"/>
    <w:rsid w:val="002A4611"/>
    <w:rsid w:val="002A5B10"/>
    <w:rsid w:val="002A62E4"/>
    <w:rsid w:val="002A72E7"/>
    <w:rsid w:val="002A7E49"/>
    <w:rsid w:val="002B0A55"/>
    <w:rsid w:val="002B14AF"/>
    <w:rsid w:val="002B1CD5"/>
    <w:rsid w:val="002B3FAF"/>
    <w:rsid w:val="002B4625"/>
    <w:rsid w:val="002B4EAE"/>
    <w:rsid w:val="002B56EA"/>
    <w:rsid w:val="002C07F7"/>
    <w:rsid w:val="002C102F"/>
    <w:rsid w:val="002C17AE"/>
    <w:rsid w:val="002C1FC1"/>
    <w:rsid w:val="002C22AF"/>
    <w:rsid w:val="002C2B3D"/>
    <w:rsid w:val="002C3A93"/>
    <w:rsid w:val="002C463D"/>
    <w:rsid w:val="002C4A62"/>
    <w:rsid w:val="002C67AD"/>
    <w:rsid w:val="002C685E"/>
    <w:rsid w:val="002C6FF3"/>
    <w:rsid w:val="002C7347"/>
    <w:rsid w:val="002D0512"/>
    <w:rsid w:val="002D0732"/>
    <w:rsid w:val="002D12D3"/>
    <w:rsid w:val="002D1406"/>
    <w:rsid w:val="002D141C"/>
    <w:rsid w:val="002D1EA4"/>
    <w:rsid w:val="002D455A"/>
    <w:rsid w:val="002D4E34"/>
    <w:rsid w:val="002D548C"/>
    <w:rsid w:val="002D57E2"/>
    <w:rsid w:val="002D585C"/>
    <w:rsid w:val="002D7F35"/>
    <w:rsid w:val="002E184A"/>
    <w:rsid w:val="002E2FDE"/>
    <w:rsid w:val="002E3765"/>
    <w:rsid w:val="002E3BC3"/>
    <w:rsid w:val="002E6021"/>
    <w:rsid w:val="002F05C8"/>
    <w:rsid w:val="002F1997"/>
    <w:rsid w:val="002F20CF"/>
    <w:rsid w:val="002F2CFD"/>
    <w:rsid w:val="002F3711"/>
    <w:rsid w:val="002F3D70"/>
    <w:rsid w:val="002F4CDA"/>
    <w:rsid w:val="002F7CF0"/>
    <w:rsid w:val="002F7E9F"/>
    <w:rsid w:val="00300396"/>
    <w:rsid w:val="00301A0E"/>
    <w:rsid w:val="00302102"/>
    <w:rsid w:val="003024C6"/>
    <w:rsid w:val="00302D21"/>
    <w:rsid w:val="00304CAD"/>
    <w:rsid w:val="003053B3"/>
    <w:rsid w:val="00307D82"/>
    <w:rsid w:val="0031053F"/>
    <w:rsid w:val="00310909"/>
    <w:rsid w:val="00311035"/>
    <w:rsid w:val="00311E3D"/>
    <w:rsid w:val="00312031"/>
    <w:rsid w:val="00312C6F"/>
    <w:rsid w:val="00313163"/>
    <w:rsid w:val="00313379"/>
    <w:rsid w:val="00314C6B"/>
    <w:rsid w:val="0031645A"/>
    <w:rsid w:val="003172C3"/>
    <w:rsid w:val="00317B18"/>
    <w:rsid w:val="00317CF4"/>
    <w:rsid w:val="003208D3"/>
    <w:rsid w:val="00321155"/>
    <w:rsid w:val="00321DBE"/>
    <w:rsid w:val="00321F32"/>
    <w:rsid w:val="003222DD"/>
    <w:rsid w:val="00322CBF"/>
    <w:rsid w:val="00323DCA"/>
    <w:rsid w:val="003253FE"/>
    <w:rsid w:val="0032577F"/>
    <w:rsid w:val="003264B7"/>
    <w:rsid w:val="00326549"/>
    <w:rsid w:val="003269FE"/>
    <w:rsid w:val="00326B7E"/>
    <w:rsid w:val="00327C88"/>
    <w:rsid w:val="003313D7"/>
    <w:rsid w:val="00332069"/>
    <w:rsid w:val="00332993"/>
    <w:rsid w:val="003346BB"/>
    <w:rsid w:val="003349FC"/>
    <w:rsid w:val="00335B16"/>
    <w:rsid w:val="00337A5F"/>
    <w:rsid w:val="003401F5"/>
    <w:rsid w:val="00340EAB"/>
    <w:rsid w:val="00341685"/>
    <w:rsid w:val="00342E93"/>
    <w:rsid w:val="0034326D"/>
    <w:rsid w:val="00343734"/>
    <w:rsid w:val="003443C5"/>
    <w:rsid w:val="00345EBE"/>
    <w:rsid w:val="00346442"/>
    <w:rsid w:val="003501B4"/>
    <w:rsid w:val="00350EA3"/>
    <w:rsid w:val="003530BA"/>
    <w:rsid w:val="003533AA"/>
    <w:rsid w:val="00353C06"/>
    <w:rsid w:val="003552DE"/>
    <w:rsid w:val="00355412"/>
    <w:rsid w:val="00356F92"/>
    <w:rsid w:val="00360895"/>
    <w:rsid w:val="0036145A"/>
    <w:rsid w:val="00363376"/>
    <w:rsid w:val="003658D7"/>
    <w:rsid w:val="00366B25"/>
    <w:rsid w:val="00367675"/>
    <w:rsid w:val="003707C6"/>
    <w:rsid w:val="003714E1"/>
    <w:rsid w:val="00371F42"/>
    <w:rsid w:val="003732DC"/>
    <w:rsid w:val="00374399"/>
    <w:rsid w:val="003744F6"/>
    <w:rsid w:val="003755D0"/>
    <w:rsid w:val="003770EC"/>
    <w:rsid w:val="00377FEA"/>
    <w:rsid w:val="003820E2"/>
    <w:rsid w:val="003822AC"/>
    <w:rsid w:val="00382335"/>
    <w:rsid w:val="00383C97"/>
    <w:rsid w:val="00383CB8"/>
    <w:rsid w:val="003878CE"/>
    <w:rsid w:val="003901D3"/>
    <w:rsid w:val="003909A4"/>
    <w:rsid w:val="003910CE"/>
    <w:rsid w:val="00392F81"/>
    <w:rsid w:val="00393A87"/>
    <w:rsid w:val="00394D2A"/>
    <w:rsid w:val="003951B5"/>
    <w:rsid w:val="00396132"/>
    <w:rsid w:val="00397DCA"/>
    <w:rsid w:val="003A164A"/>
    <w:rsid w:val="003A4F37"/>
    <w:rsid w:val="003A5DBD"/>
    <w:rsid w:val="003A696D"/>
    <w:rsid w:val="003B2C3E"/>
    <w:rsid w:val="003B4B0B"/>
    <w:rsid w:val="003B4FC7"/>
    <w:rsid w:val="003B5082"/>
    <w:rsid w:val="003B68B9"/>
    <w:rsid w:val="003B6FCA"/>
    <w:rsid w:val="003B7C36"/>
    <w:rsid w:val="003C0D0F"/>
    <w:rsid w:val="003C2AFF"/>
    <w:rsid w:val="003C48F1"/>
    <w:rsid w:val="003C506E"/>
    <w:rsid w:val="003C5766"/>
    <w:rsid w:val="003C5F4A"/>
    <w:rsid w:val="003C7606"/>
    <w:rsid w:val="003C7B12"/>
    <w:rsid w:val="003D0071"/>
    <w:rsid w:val="003D2115"/>
    <w:rsid w:val="003D363A"/>
    <w:rsid w:val="003D559E"/>
    <w:rsid w:val="003D6821"/>
    <w:rsid w:val="003D7490"/>
    <w:rsid w:val="003D7E40"/>
    <w:rsid w:val="003E22BE"/>
    <w:rsid w:val="003E36A4"/>
    <w:rsid w:val="003E4E4A"/>
    <w:rsid w:val="003E6712"/>
    <w:rsid w:val="003E6BC2"/>
    <w:rsid w:val="003E79AA"/>
    <w:rsid w:val="003F0739"/>
    <w:rsid w:val="003F19C0"/>
    <w:rsid w:val="003F39F9"/>
    <w:rsid w:val="003F5170"/>
    <w:rsid w:val="003F5AFC"/>
    <w:rsid w:val="003F6991"/>
    <w:rsid w:val="003F6CB4"/>
    <w:rsid w:val="003F7732"/>
    <w:rsid w:val="004011C0"/>
    <w:rsid w:val="00401FDE"/>
    <w:rsid w:val="00402279"/>
    <w:rsid w:val="004040C6"/>
    <w:rsid w:val="0040418F"/>
    <w:rsid w:val="0040489C"/>
    <w:rsid w:val="0040643D"/>
    <w:rsid w:val="00411069"/>
    <w:rsid w:val="00411C25"/>
    <w:rsid w:val="00411F62"/>
    <w:rsid w:val="00412FE4"/>
    <w:rsid w:val="0041302B"/>
    <w:rsid w:val="00413F22"/>
    <w:rsid w:val="00414BCD"/>
    <w:rsid w:val="00415809"/>
    <w:rsid w:val="004161DE"/>
    <w:rsid w:val="0041635D"/>
    <w:rsid w:val="00417B35"/>
    <w:rsid w:val="00420EE5"/>
    <w:rsid w:val="00421976"/>
    <w:rsid w:val="00421BFF"/>
    <w:rsid w:val="004220DE"/>
    <w:rsid w:val="00422340"/>
    <w:rsid w:val="00422DCA"/>
    <w:rsid w:val="00423BEB"/>
    <w:rsid w:val="00424860"/>
    <w:rsid w:val="00424F49"/>
    <w:rsid w:val="00426B80"/>
    <w:rsid w:val="0043161E"/>
    <w:rsid w:val="00431FF9"/>
    <w:rsid w:val="0043210C"/>
    <w:rsid w:val="004327DE"/>
    <w:rsid w:val="00432DA3"/>
    <w:rsid w:val="00433379"/>
    <w:rsid w:val="004337CB"/>
    <w:rsid w:val="004337DF"/>
    <w:rsid w:val="004340E2"/>
    <w:rsid w:val="00434541"/>
    <w:rsid w:val="004345E0"/>
    <w:rsid w:val="0043472F"/>
    <w:rsid w:val="00434E75"/>
    <w:rsid w:val="00435253"/>
    <w:rsid w:val="00436760"/>
    <w:rsid w:val="004367E7"/>
    <w:rsid w:val="004375CB"/>
    <w:rsid w:val="00440B6D"/>
    <w:rsid w:val="00443926"/>
    <w:rsid w:val="004447D0"/>
    <w:rsid w:val="00446858"/>
    <w:rsid w:val="0044699C"/>
    <w:rsid w:val="00450A9E"/>
    <w:rsid w:val="004534DA"/>
    <w:rsid w:val="00454362"/>
    <w:rsid w:val="004545CD"/>
    <w:rsid w:val="00454AB8"/>
    <w:rsid w:val="00455169"/>
    <w:rsid w:val="00455274"/>
    <w:rsid w:val="0046244F"/>
    <w:rsid w:val="0046255C"/>
    <w:rsid w:val="0046562A"/>
    <w:rsid w:val="00466224"/>
    <w:rsid w:val="00466B14"/>
    <w:rsid w:val="00467640"/>
    <w:rsid w:val="00470479"/>
    <w:rsid w:val="00470F3D"/>
    <w:rsid w:val="0047142B"/>
    <w:rsid w:val="00471B08"/>
    <w:rsid w:val="004739A7"/>
    <w:rsid w:val="00473C0A"/>
    <w:rsid w:val="00474785"/>
    <w:rsid w:val="004750CE"/>
    <w:rsid w:val="004767E4"/>
    <w:rsid w:val="00477004"/>
    <w:rsid w:val="004774A6"/>
    <w:rsid w:val="004779BB"/>
    <w:rsid w:val="00480B9A"/>
    <w:rsid w:val="0048181A"/>
    <w:rsid w:val="0048323F"/>
    <w:rsid w:val="00483FDE"/>
    <w:rsid w:val="00485766"/>
    <w:rsid w:val="004865FF"/>
    <w:rsid w:val="00487041"/>
    <w:rsid w:val="004874C6"/>
    <w:rsid w:val="004909D2"/>
    <w:rsid w:val="00490BEC"/>
    <w:rsid w:val="0049107E"/>
    <w:rsid w:val="00491DB6"/>
    <w:rsid w:val="00492AB3"/>
    <w:rsid w:val="00492BE6"/>
    <w:rsid w:val="004930DD"/>
    <w:rsid w:val="00496153"/>
    <w:rsid w:val="0049679C"/>
    <w:rsid w:val="00496A41"/>
    <w:rsid w:val="00496C39"/>
    <w:rsid w:val="004970DC"/>
    <w:rsid w:val="00497D27"/>
    <w:rsid w:val="004A0E5F"/>
    <w:rsid w:val="004A5020"/>
    <w:rsid w:val="004A6EA7"/>
    <w:rsid w:val="004A7943"/>
    <w:rsid w:val="004B0763"/>
    <w:rsid w:val="004B11F4"/>
    <w:rsid w:val="004B5FC9"/>
    <w:rsid w:val="004B754C"/>
    <w:rsid w:val="004B76C7"/>
    <w:rsid w:val="004C04F7"/>
    <w:rsid w:val="004C0E4F"/>
    <w:rsid w:val="004C197B"/>
    <w:rsid w:val="004C1ABA"/>
    <w:rsid w:val="004C1E34"/>
    <w:rsid w:val="004C49E3"/>
    <w:rsid w:val="004C53F3"/>
    <w:rsid w:val="004C6F30"/>
    <w:rsid w:val="004C775C"/>
    <w:rsid w:val="004D0758"/>
    <w:rsid w:val="004D0863"/>
    <w:rsid w:val="004D1159"/>
    <w:rsid w:val="004D2C06"/>
    <w:rsid w:val="004D3403"/>
    <w:rsid w:val="004D4262"/>
    <w:rsid w:val="004D4A3D"/>
    <w:rsid w:val="004D5AB4"/>
    <w:rsid w:val="004D6017"/>
    <w:rsid w:val="004D6C1E"/>
    <w:rsid w:val="004E0FB3"/>
    <w:rsid w:val="004E1F7F"/>
    <w:rsid w:val="004E1FC2"/>
    <w:rsid w:val="004E2301"/>
    <w:rsid w:val="004E55BD"/>
    <w:rsid w:val="004E5820"/>
    <w:rsid w:val="004E71B6"/>
    <w:rsid w:val="004F04FA"/>
    <w:rsid w:val="004F1991"/>
    <w:rsid w:val="004F1A3A"/>
    <w:rsid w:val="004F46C7"/>
    <w:rsid w:val="004F54D1"/>
    <w:rsid w:val="004F54F7"/>
    <w:rsid w:val="004F5B5F"/>
    <w:rsid w:val="004F6A12"/>
    <w:rsid w:val="004F7798"/>
    <w:rsid w:val="00503543"/>
    <w:rsid w:val="00504189"/>
    <w:rsid w:val="00505BBE"/>
    <w:rsid w:val="00505D10"/>
    <w:rsid w:val="005072B3"/>
    <w:rsid w:val="0050795C"/>
    <w:rsid w:val="00507F28"/>
    <w:rsid w:val="00510012"/>
    <w:rsid w:val="005108D0"/>
    <w:rsid w:val="00510B18"/>
    <w:rsid w:val="005116CA"/>
    <w:rsid w:val="005133B1"/>
    <w:rsid w:val="00513477"/>
    <w:rsid w:val="00513A96"/>
    <w:rsid w:val="00513ABA"/>
    <w:rsid w:val="00513EBB"/>
    <w:rsid w:val="005145A1"/>
    <w:rsid w:val="0051554A"/>
    <w:rsid w:val="0051703F"/>
    <w:rsid w:val="00517B9F"/>
    <w:rsid w:val="00517CED"/>
    <w:rsid w:val="005206B2"/>
    <w:rsid w:val="0052116B"/>
    <w:rsid w:val="0052156B"/>
    <w:rsid w:val="00521860"/>
    <w:rsid w:val="005219F1"/>
    <w:rsid w:val="005225A6"/>
    <w:rsid w:val="00522D3C"/>
    <w:rsid w:val="00523CF0"/>
    <w:rsid w:val="0052447B"/>
    <w:rsid w:val="00525E95"/>
    <w:rsid w:val="005262CC"/>
    <w:rsid w:val="0053212D"/>
    <w:rsid w:val="005321C6"/>
    <w:rsid w:val="00533A41"/>
    <w:rsid w:val="00534AD5"/>
    <w:rsid w:val="00535E8F"/>
    <w:rsid w:val="00536015"/>
    <w:rsid w:val="0054020D"/>
    <w:rsid w:val="00540974"/>
    <w:rsid w:val="005414CD"/>
    <w:rsid w:val="00541619"/>
    <w:rsid w:val="005416C2"/>
    <w:rsid w:val="0054277F"/>
    <w:rsid w:val="00543231"/>
    <w:rsid w:val="00543DC0"/>
    <w:rsid w:val="00551560"/>
    <w:rsid w:val="00552642"/>
    <w:rsid w:val="005527F9"/>
    <w:rsid w:val="00552E61"/>
    <w:rsid w:val="00554127"/>
    <w:rsid w:val="00554D25"/>
    <w:rsid w:val="00554F47"/>
    <w:rsid w:val="00554FAB"/>
    <w:rsid w:val="0055609A"/>
    <w:rsid w:val="00560F3D"/>
    <w:rsid w:val="00562582"/>
    <w:rsid w:val="005638A4"/>
    <w:rsid w:val="005647B9"/>
    <w:rsid w:val="00564F2A"/>
    <w:rsid w:val="00565CC2"/>
    <w:rsid w:val="00566D94"/>
    <w:rsid w:val="005701D8"/>
    <w:rsid w:val="005722A8"/>
    <w:rsid w:val="00573DA4"/>
    <w:rsid w:val="00575AC4"/>
    <w:rsid w:val="005763CC"/>
    <w:rsid w:val="00581456"/>
    <w:rsid w:val="005828B9"/>
    <w:rsid w:val="00583D7B"/>
    <w:rsid w:val="00584A74"/>
    <w:rsid w:val="00585A1E"/>
    <w:rsid w:val="00586257"/>
    <w:rsid w:val="00590185"/>
    <w:rsid w:val="00590284"/>
    <w:rsid w:val="005903AB"/>
    <w:rsid w:val="00591BA4"/>
    <w:rsid w:val="005930A6"/>
    <w:rsid w:val="0059449D"/>
    <w:rsid w:val="00594500"/>
    <w:rsid w:val="0059518E"/>
    <w:rsid w:val="00595EAB"/>
    <w:rsid w:val="00596D37"/>
    <w:rsid w:val="00597C3B"/>
    <w:rsid w:val="00597D77"/>
    <w:rsid w:val="00597E16"/>
    <w:rsid w:val="005A0539"/>
    <w:rsid w:val="005A1564"/>
    <w:rsid w:val="005A15C2"/>
    <w:rsid w:val="005A2225"/>
    <w:rsid w:val="005A2246"/>
    <w:rsid w:val="005A33B6"/>
    <w:rsid w:val="005A3467"/>
    <w:rsid w:val="005A3512"/>
    <w:rsid w:val="005A4986"/>
    <w:rsid w:val="005A4AF2"/>
    <w:rsid w:val="005A546C"/>
    <w:rsid w:val="005A5921"/>
    <w:rsid w:val="005A5EF0"/>
    <w:rsid w:val="005A5F69"/>
    <w:rsid w:val="005A67C4"/>
    <w:rsid w:val="005A78E4"/>
    <w:rsid w:val="005B0451"/>
    <w:rsid w:val="005B0C66"/>
    <w:rsid w:val="005B1735"/>
    <w:rsid w:val="005B2753"/>
    <w:rsid w:val="005B2DE8"/>
    <w:rsid w:val="005B3268"/>
    <w:rsid w:val="005B34B5"/>
    <w:rsid w:val="005B3FF0"/>
    <w:rsid w:val="005B4401"/>
    <w:rsid w:val="005B58B5"/>
    <w:rsid w:val="005B5FB5"/>
    <w:rsid w:val="005B69ED"/>
    <w:rsid w:val="005B6C73"/>
    <w:rsid w:val="005C1408"/>
    <w:rsid w:val="005C1903"/>
    <w:rsid w:val="005C2576"/>
    <w:rsid w:val="005C2EE0"/>
    <w:rsid w:val="005C3432"/>
    <w:rsid w:val="005C39B6"/>
    <w:rsid w:val="005C3EAA"/>
    <w:rsid w:val="005C4C4B"/>
    <w:rsid w:val="005C6B2A"/>
    <w:rsid w:val="005C73CF"/>
    <w:rsid w:val="005C78E9"/>
    <w:rsid w:val="005C7D04"/>
    <w:rsid w:val="005D0593"/>
    <w:rsid w:val="005D07F1"/>
    <w:rsid w:val="005D162E"/>
    <w:rsid w:val="005D207D"/>
    <w:rsid w:val="005D400B"/>
    <w:rsid w:val="005D51E7"/>
    <w:rsid w:val="005D59BC"/>
    <w:rsid w:val="005D5CCD"/>
    <w:rsid w:val="005D6631"/>
    <w:rsid w:val="005D694E"/>
    <w:rsid w:val="005D6CDD"/>
    <w:rsid w:val="005D7A6C"/>
    <w:rsid w:val="005D7F73"/>
    <w:rsid w:val="005E0212"/>
    <w:rsid w:val="005E34C2"/>
    <w:rsid w:val="005E3710"/>
    <w:rsid w:val="005E3ED6"/>
    <w:rsid w:val="005E47C8"/>
    <w:rsid w:val="005E555E"/>
    <w:rsid w:val="005E5702"/>
    <w:rsid w:val="005F072E"/>
    <w:rsid w:val="005F10BF"/>
    <w:rsid w:val="005F13A4"/>
    <w:rsid w:val="005F16F6"/>
    <w:rsid w:val="005F183E"/>
    <w:rsid w:val="005F20BD"/>
    <w:rsid w:val="005F5D49"/>
    <w:rsid w:val="005F6742"/>
    <w:rsid w:val="005F6DD1"/>
    <w:rsid w:val="005F7A3A"/>
    <w:rsid w:val="00600316"/>
    <w:rsid w:val="006014A2"/>
    <w:rsid w:val="00601B98"/>
    <w:rsid w:val="0060244E"/>
    <w:rsid w:val="00602B20"/>
    <w:rsid w:val="00604D20"/>
    <w:rsid w:val="006053F6"/>
    <w:rsid w:val="0060541F"/>
    <w:rsid w:val="006060A6"/>
    <w:rsid w:val="00606D4C"/>
    <w:rsid w:val="00607C3F"/>
    <w:rsid w:val="00610DAC"/>
    <w:rsid w:val="006113FC"/>
    <w:rsid w:val="00611AAB"/>
    <w:rsid w:val="00613C29"/>
    <w:rsid w:val="006143C1"/>
    <w:rsid w:val="00615DF7"/>
    <w:rsid w:val="0062031C"/>
    <w:rsid w:val="00620C10"/>
    <w:rsid w:val="00620E15"/>
    <w:rsid w:val="006210EF"/>
    <w:rsid w:val="0062134D"/>
    <w:rsid w:val="00622930"/>
    <w:rsid w:val="00622B11"/>
    <w:rsid w:val="00623277"/>
    <w:rsid w:val="006251AB"/>
    <w:rsid w:val="006263E4"/>
    <w:rsid w:val="0062661F"/>
    <w:rsid w:val="00630EE2"/>
    <w:rsid w:val="006315E5"/>
    <w:rsid w:val="006315EB"/>
    <w:rsid w:val="00632391"/>
    <w:rsid w:val="0063394C"/>
    <w:rsid w:val="0063394E"/>
    <w:rsid w:val="00634944"/>
    <w:rsid w:val="00635B7F"/>
    <w:rsid w:val="00635E2D"/>
    <w:rsid w:val="00636C95"/>
    <w:rsid w:val="00640655"/>
    <w:rsid w:val="00641860"/>
    <w:rsid w:val="00642275"/>
    <w:rsid w:val="00642F6A"/>
    <w:rsid w:val="00643EB7"/>
    <w:rsid w:val="006441D7"/>
    <w:rsid w:val="006442D9"/>
    <w:rsid w:val="00646881"/>
    <w:rsid w:val="0064747C"/>
    <w:rsid w:val="006478F1"/>
    <w:rsid w:val="00647E48"/>
    <w:rsid w:val="00650D94"/>
    <w:rsid w:val="006516AF"/>
    <w:rsid w:val="00651730"/>
    <w:rsid w:val="00651B04"/>
    <w:rsid w:val="0065237B"/>
    <w:rsid w:val="006528EB"/>
    <w:rsid w:val="00652FF8"/>
    <w:rsid w:val="006536E5"/>
    <w:rsid w:val="00653F12"/>
    <w:rsid w:val="00655B93"/>
    <w:rsid w:val="00656C9E"/>
    <w:rsid w:val="006579FD"/>
    <w:rsid w:val="00657B41"/>
    <w:rsid w:val="0066081B"/>
    <w:rsid w:val="00660B4E"/>
    <w:rsid w:val="006629CD"/>
    <w:rsid w:val="00663184"/>
    <w:rsid w:val="00663697"/>
    <w:rsid w:val="006639E2"/>
    <w:rsid w:val="006653DF"/>
    <w:rsid w:val="00665961"/>
    <w:rsid w:val="00667A78"/>
    <w:rsid w:val="00667D40"/>
    <w:rsid w:val="00671A57"/>
    <w:rsid w:val="0067202F"/>
    <w:rsid w:val="00673185"/>
    <w:rsid w:val="006760EF"/>
    <w:rsid w:val="00676323"/>
    <w:rsid w:val="00676A18"/>
    <w:rsid w:val="00680284"/>
    <w:rsid w:val="00680509"/>
    <w:rsid w:val="00680D4D"/>
    <w:rsid w:val="00681AAC"/>
    <w:rsid w:val="0068216B"/>
    <w:rsid w:val="00683E0C"/>
    <w:rsid w:val="006855E2"/>
    <w:rsid w:val="00685E60"/>
    <w:rsid w:val="00686247"/>
    <w:rsid w:val="00687668"/>
    <w:rsid w:val="0068774C"/>
    <w:rsid w:val="006911EA"/>
    <w:rsid w:val="0069185C"/>
    <w:rsid w:val="006924C5"/>
    <w:rsid w:val="00692732"/>
    <w:rsid w:val="00692EEC"/>
    <w:rsid w:val="0069485C"/>
    <w:rsid w:val="00694D36"/>
    <w:rsid w:val="00694E84"/>
    <w:rsid w:val="00695DA3"/>
    <w:rsid w:val="006960ED"/>
    <w:rsid w:val="00696A23"/>
    <w:rsid w:val="006A4C0B"/>
    <w:rsid w:val="006A72C1"/>
    <w:rsid w:val="006A7CC2"/>
    <w:rsid w:val="006B09FC"/>
    <w:rsid w:val="006B11B8"/>
    <w:rsid w:val="006B3AE9"/>
    <w:rsid w:val="006B447D"/>
    <w:rsid w:val="006B4AB0"/>
    <w:rsid w:val="006B5E05"/>
    <w:rsid w:val="006B69DA"/>
    <w:rsid w:val="006B6E60"/>
    <w:rsid w:val="006B7D6A"/>
    <w:rsid w:val="006B7DEA"/>
    <w:rsid w:val="006C0BCF"/>
    <w:rsid w:val="006C23B7"/>
    <w:rsid w:val="006C2904"/>
    <w:rsid w:val="006C300E"/>
    <w:rsid w:val="006C5305"/>
    <w:rsid w:val="006C5939"/>
    <w:rsid w:val="006C7671"/>
    <w:rsid w:val="006C7B7A"/>
    <w:rsid w:val="006D087C"/>
    <w:rsid w:val="006D0FFD"/>
    <w:rsid w:val="006D1A25"/>
    <w:rsid w:val="006D2D4A"/>
    <w:rsid w:val="006D4DEB"/>
    <w:rsid w:val="006D508A"/>
    <w:rsid w:val="006D5694"/>
    <w:rsid w:val="006D6670"/>
    <w:rsid w:val="006D6BF6"/>
    <w:rsid w:val="006D70D1"/>
    <w:rsid w:val="006E01AD"/>
    <w:rsid w:val="006E06E7"/>
    <w:rsid w:val="006E1B18"/>
    <w:rsid w:val="006E38DB"/>
    <w:rsid w:val="006E40AC"/>
    <w:rsid w:val="006E4ADC"/>
    <w:rsid w:val="006E4EEA"/>
    <w:rsid w:val="006E6D6F"/>
    <w:rsid w:val="006E7E39"/>
    <w:rsid w:val="006F077A"/>
    <w:rsid w:val="006F082E"/>
    <w:rsid w:val="006F2413"/>
    <w:rsid w:val="006F2601"/>
    <w:rsid w:val="006F27A7"/>
    <w:rsid w:val="006F2A77"/>
    <w:rsid w:val="006F2C15"/>
    <w:rsid w:val="006F46C1"/>
    <w:rsid w:val="006F62D5"/>
    <w:rsid w:val="0070059D"/>
    <w:rsid w:val="00700847"/>
    <w:rsid w:val="007020DC"/>
    <w:rsid w:val="00702781"/>
    <w:rsid w:val="00702DB6"/>
    <w:rsid w:val="00703010"/>
    <w:rsid w:val="00703A97"/>
    <w:rsid w:val="00703C8A"/>
    <w:rsid w:val="00705614"/>
    <w:rsid w:val="007079E9"/>
    <w:rsid w:val="007115E0"/>
    <w:rsid w:val="007132B0"/>
    <w:rsid w:val="007143F1"/>
    <w:rsid w:val="00715ACD"/>
    <w:rsid w:val="007169CD"/>
    <w:rsid w:val="00717138"/>
    <w:rsid w:val="0071728F"/>
    <w:rsid w:val="007176A4"/>
    <w:rsid w:val="0072056A"/>
    <w:rsid w:val="00720933"/>
    <w:rsid w:val="007210C5"/>
    <w:rsid w:val="00721AD8"/>
    <w:rsid w:val="00721F08"/>
    <w:rsid w:val="00722382"/>
    <w:rsid w:val="007224BC"/>
    <w:rsid w:val="007231B0"/>
    <w:rsid w:val="0072333C"/>
    <w:rsid w:val="00724726"/>
    <w:rsid w:val="00725178"/>
    <w:rsid w:val="0072616A"/>
    <w:rsid w:val="00726992"/>
    <w:rsid w:val="007278AC"/>
    <w:rsid w:val="00730E14"/>
    <w:rsid w:val="0073361B"/>
    <w:rsid w:val="00735662"/>
    <w:rsid w:val="00735BCD"/>
    <w:rsid w:val="00735DC2"/>
    <w:rsid w:val="00736B58"/>
    <w:rsid w:val="00740359"/>
    <w:rsid w:val="0074061F"/>
    <w:rsid w:val="00740CB7"/>
    <w:rsid w:val="007416E5"/>
    <w:rsid w:val="0074184E"/>
    <w:rsid w:val="0074263E"/>
    <w:rsid w:val="007428C7"/>
    <w:rsid w:val="007431DF"/>
    <w:rsid w:val="00743420"/>
    <w:rsid w:val="00745007"/>
    <w:rsid w:val="007458E3"/>
    <w:rsid w:val="00745E3A"/>
    <w:rsid w:val="00746055"/>
    <w:rsid w:val="00746099"/>
    <w:rsid w:val="0074734A"/>
    <w:rsid w:val="007477E4"/>
    <w:rsid w:val="00747B61"/>
    <w:rsid w:val="007505B0"/>
    <w:rsid w:val="00751659"/>
    <w:rsid w:val="0075165D"/>
    <w:rsid w:val="00752BFD"/>
    <w:rsid w:val="007530A0"/>
    <w:rsid w:val="00753898"/>
    <w:rsid w:val="007568EE"/>
    <w:rsid w:val="00756929"/>
    <w:rsid w:val="00757828"/>
    <w:rsid w:val="0076063C"/>
    <w:rsid w:val="00760CE8"/>
    <w:rsid w:val="00761F41"/>
    <w:rsid w:val="007622FA"/>
    <w:rsid w:val="00762669"/>
    <w:rsid w:val="00762BF5"/>
    <w:rsid w:val="00763C96"/>
    <w:rsid w:val="00764302"/>
    <w:rsid w:val="00764E76"/>
    <w:rsid w:val="00766138"/>
    <w:rsid w:val="00766315"/>
    <w:rsid w:val="00767CD1"/>
    <w:rsid w:val="007703D1"/>
    <w:rsid w:val="00770AB2"/>
    <w:rsid w:val="00770F2B"/>
    <w:rsid w:val="00770F93"/>
    <w:rsid w:val="0077231A"/>
    <w:rsid w:val="00772763"/>
    <w:rsid w:val="007731F8"/>
    <w:rsid w:val="00775031"/>
    <w:rsid w:val="007767C3"/>
    <w:rsid w:val="00776940"/>
    <w:rsid w:val="00776CF7"/>
    <w:rsid w:val="00777275"/>
    <w:rsid w:val="00780503"/>
    <w:rsid w:val="00781C49"/>
    <w:rsid w:val="00783DC6"/>
    <w:rsid w:val="00784CE7"/>
    <w:rsid w:val="00784D93"/>
    <w:rsid w:val="00787AA0"/>
    <w:rsid w:val="0079086F"/>
    <w:rsid w:val="00790F06"/>
    <w:rsid w:val="00791AE6"/>
    <w:rsid w:val="00791E0F"/>
    <w:rsid w:val="00792DE1"/>
    <w:rsid w:val="0079559A"/>
    <w:rsid w:val="007958D2"/>
    <w:rsid w:val="00797D65"/>
    <w:rsid w:val="00797E31"/>
    <w:rsid w:val="007A0646"/>
    <w:rsid w:val="007A2307"/>
    <w:rsid w:val="007A261A"/>
    <w:rsid w:val="007A2937"/>
    <w:rsid w:val="007A29FD"/>
    <w:rsid w:val="007A2DDC"/>
    <w:rsid w:val="007A331F"/>
    <w:rsid w:val="007A3FC6"/>
    <w:rsid w:val="007A4456"/>
    <w:rsid w:val="007A57ED"/>
    <w:rsid w:val="007A5976"/>
    <w:rsid w:val="007A6E4C"/>
    <w:rsid w:val="007A7AB5"/>
    <w:rsid w:val="007A7F27"/>
    <w:rsid w:val="007B02B5"/>
    <w:rsid w:val="007B0692"/>
    <w:rsid w:val="007B1C49"/>
    <w:rsid w:val="007B3DF6"/>
    <w:rsid w:val="007B513F"/>
    <w:rsid w:val="007B60F6"/>
    <w:rsid w:val="007B6417"/>
    <w:rsid w:val="007C1996"/>
    <w:rsid w:val="007C3B39"/>
    <w:rsid w:val="007C4231"/>
    <w:rsid w:val="007C4297"/>
    <w:rsid w:val="007C4D4C"/>
    <w:rsid w:val="007C56C4"/>
    <w:rsid w:val="007C6C11"/>
    <w:rsid w:val="007C7BC3"/>
    <w:rsid w:val="007D0032"/>
    <w:rsid w:val="007D063B"/>
    <w:rsid w:val="007D1B87"/>
    <w:rsid w:val="007D53DC"/>
    <w:rsid w:val="007D5F99"/>
    <w:rsid w:val="007D72FD"/>
    <w:rsid w:val="007E0607"/>
    <w:rsid w:val="007E0BE4"/>
    <w:rsid w:val="007E1E79"/>
    <w:rsid w:val="007E1F63"/>
    <w:rsid w:val="007E265C"/>
    <w:rsid w:val="007E3861"/>
    <w:rsid w:val="007E45F5"/>
    <w:rsid w:val="007E7DC3"/>
    <w:rsid w:val="007F1735"/>
    <w:rsid w:val="007F27A7"/>
    <w:rsid w:val="007F549C"/>
    <w:rsid w:val="007F6588"/>
    <w:rsid w:val="007F73B1"/>
    <w:rsid w:val="007F759C"/>
    <w:rsid w:val="0080043F"/>
    <w:rsid w:val="00800CC8"/>
    <w:rsid w:val="0080126F"/>
    <w:rsid w:val="00802133"/>
    <w:rsid w:val="0080291E"/>
    <w:rsid w:val="00802E89"/>
    <w:rsid w:val="0080306C"/>
    <w:rsid w:val="008048DD"/>
    <w:rsid w:val="00804CC7"/>
    <w:rsid w:val="00805366"/>
    <w:rsid w:val="00806DFE"/>
    <w:rsid w:val="00813748"/>
    <w:rsid w:val="00813DBA"/>
    <w:rsid w:val="00814838"/>
    <w:rsid w:val="00814C07"/>
    <w:rsid w:val="008175AB"/>
    <w:rsid w:val="00817EB9"/>
    <w:rsid w:val="0082143F"/>
    <w:rsid w:val="00821914"/>
    <w:rsid w:val="00822446"/>
    <w:rsid w:val="008279F6"/>
    <w:rsid w:val="00827CFD"/>
    <w:rsid w:val="00827D69"/>
    <w:rsid w:val="00830D31"/>
    <w:rsid w:val="0083188D"/>
    <w:rsid w:val="00831E18"/>
    <w:rsid w:val="00831EBB"/>
    <w:rsid w:val="008323E1"/>
    <w:rsid w:val="00835CA8"/>
    <w:rsid w:val="00840498"/>
    <w:rsid w:val="00840B20"/>
    <w:rsid w:val="00841F2C"/>
    <w:rsid w:val="0084347C"/>
    <w:rsid w:val="00843490"/>
    <w:rsid w:val="008439E9"/>
    <w:rsid w:val="00844204"/>
    <w:rsid w:val="00846935"/>
    <w:rsid w:val="00846C0A"/>
    <w:rsid w:val="00846F7D"/>
    <w:rsid w:val="00847A0B"/>
    <w:rsid w:val="0085002A"/>
    <w:rsid w:val="008502E9"/>
    <w:rsid w:val="00850941"/>
    <w:rsid w:val="008522B4"/>
    <w:rsid w:val="008547DE"/>
    <w:rsid w:val="008556BF"/>
    <w:rsid w:val="00856598"/>
    <w:rsid w:val="00856F9E"/>
    <w:rsid w:val="00857327"/>
    <w:rsid w:val="00857A43"/>
    <w:rsid w:val="008601E7"/>
    <w:rsid w:val="008615DF"/>
    <w:rsid w:val="00861A6E"/>
    <w:rsid w:val="00863BB6"/>
    <w:rsid w:val="00864827"/>
    <w:rsid w:val="00865C74"/>
    <w:rsid w:val="008667A1"/>
    <w:rsid w:val="00866994"/>
    <w:rsid w:val="008670AB"/>
    <w:rsid w:val="008705A8"/>
    <w:rsid w:val="00870C72"/>
    <w:rsid w:val="0087207A"/>
    <w:rsid w:val="00872666"/>
    <w:rsid w:val="00872E21"/>
    <w:rsid w:val="00873E0A"/>
    <w:rsid w:val="00874014"/>
    <w:rsid w:val="00875535"/>
    <w:rsid w:val="00877CD4"/>
    <w:rsid w:val="0088018A"/>
    <w:rsid w:val="0088032F"/>
    <w:rsid w:val="0088035E"/>
    <w:rsid w:val="00881864"/>
    <w:rsid w:val="00882C9E"/>
    <w:rsid w:val="00882F69"/>
    <w:rsid w:val="00882FC1"/>
    <w:rsid w:val="00883A0C"/>
    <w:rsid w:val="00883DA0"/>
    <w:rsid w:val="00883F5C"/>
    <w:rsid w:val="00884789"/>
    <w:rsid w:val="00885120"/>
    <w:rsid w:val="0088549B"/>
    <w:rsid w:val="008855D3"/>
    <w:rsid w:val="00886797"/>
    <w:rsid w:val="00886C97"/>
    <w:rsid w:val="00886EAC"/>
    <w:rsid w:val="008911DA"/>
    <w:rsid w:val="008920AF"/>
    <w:rsid w:val="008947FB"/>
    <w:rsid w:val="00897770"/>
    <w:rsid w:val="00897A8E"/>
    <w:rsid w:val="008A0484"/>
    <w:rsid w:val="008A10E5"/>
    <w:rsid w:val="008A1212"/>
    <w:rsid w:val="008A2024"/>
    <w:rsid w:val="008A2947"/>
    <w:rsid w:val="008A2AA5"/>
    <w:rsid w:val="008A4079"/>
    <w:rsid w:val="008A5E11"/>
    <w:rsid w:val="008A6E0F"/>
    <w:rsid w:val="008B03FD"/>
    <w:rsid w:val="008B326F"/>
    <w:rsid w:val="008B3634"/>
    <w:rsid w:val="008B71F6"/>
    <w:rsid w:val="008C2041"/>
    <w:rsid w:val="008C335B"/>
    <w:rsid w:val="008C4EB6"/>
    <w:rsid w:val="008C5EBC"/>
    <w:rsid w:val="008C77CD"/>
    <w:rsid w:val="008D097F"/>
    <w:rsid w:val="008D0FBB"/>
    <w:rsid w:val="008D11B6"/>
    <w:rsid w:val="008D3EA2"/>
    <w:rsid w:val="008D4114"/>
    <w:rsid w:val="008D42BE"/>
    <w:rsid w:val="008D52B8"/>
    <w:rsid w:val="008D641B"/>
    <w:rsid w:val="008D661D"/>
    <w:rsid w:val="008D74CC"/>
    <w:rsid w:val="008D7978"/>
    <w:rsid w:val="008E123E"/>
    <w:rsid w:val="008E1DB5"/>
    <w:rsid w:val="008E221C"/>
    <w:rsid w:val="008E293B"/>
    <w:rsid w:val="008E2A5C"/>
    <w:rsid w:val="008E3C51"/>
    <w:rsid w:val="008E4A1F"/>
    <w:rsid w:val="008E5FDF"/>
    <w:rsid w:val="008E6E36"/>
    <w:rsid w:val="008F0611"/>
    <w:rsid w:val="008F062C"/>
    <w:rsid w:val="008F1548"/>
    <w:rsid w:val="008F2EB5"/>
    <w:rsid w:val="008F3497"/>
    <w:rsid w:val="008F3F06"/>
    <w:rsid w:val="008F460A"/>
    <w:rsid w:val="008F520F"/>
    <w:rsid w:val="008F5578"/>
    <w:rsid w:val="008F5C6E"/>
    <w:rsid w:val="008F64AC"/>
    <w:rsid w:val="008F74D1"/>
    <w:rsid w:val="008F7750"/>
    <w:rsid w:val="008F7EA3"/>
    <w:rsid w:val="00901BC5"/>
    <w:rsid w:val="0090326D"/>
    <w:rsid w:val="009038C4"/>
    <w:rsid w:val="00904305"/>
    <w:rsid w:val="009049C4"/>
    <w:rsid w:val="009054B4"/>
    <w:rsid w:val="00906D30"/>
    <w:rsid w:val="00906D69"/>
    <w:rsid w:val="009101B1"/>
    <w:rsid w:val="0091094A"/>
    <w:rsid w:val="00911D23"/>
    <w:rsid w:val="00912A7D"/>
    <w:rsid w:val="00912B42"/>
    <w:rsid w:val="009138F1"/>
    <w:rsid w:val="00914073"/>
    <w:rsid w:val="009140CB"/>
    <w:rsid w:val="009143AF"/>
    <w:rsid w:val="0091465A"/>
    <w:rsid w:val="0091580F"/>
    <w:rsid w:val="00916DF5"/>
    <w:rsid w:val="0092070E"/>
    <w:rsid w:val="00922D42"/>
    <w:rsid w:val="00922E1B"/>
    <w:rsid w:val="009234C4"/>
    <w:rsid w:val="00924654"/>
    <w:rsid w:val="009246F5"/>
    <w:rsid w:val="00925ABE"/>
    <w:rsid w:val="009264B3"/>
    <w:rsid w:val="0092685B"/>
    <w:rsid w:val="00926CDA"/>
    <w:rsid w:val="00926DC2"/>
    <w:rsid w:val="00926FB4"/>
    <w:rsid w:val="00930640"/>
    <w:rsid w:val="00931BB1"/>
    <w:rsid w:val="00931DDF"/>
    <w:rsid w:val="00931E46"/>
    <w:rsid w:val="009324DF"/>
    <w:rsid w:val="00935124"/>
    <w:rsid w:val="00935383"/>
    <w:rsid w:val="00936C3D"/>
    <w:rsid w:val="00941B92"/>
    <w:rsid w:val="00941F29"/>
    <w:rsid w:val="00942E03"/>
    <w:rsid w:val="00942E5A"/>
    <w:rsid w:val="0094318F"/>
    <w:rsid w:val="00943CCA"/>
    <w:rsid w:val="00943F64"/>
    <w:rsid w:val="00944490"/>
    <w:rsid w:val="0094573B"/>
    <w:rsid w:val="009458AF"/>
    <w:rsid w:val="009474B1"/>
    <w:rsid w:val="00947B9E"/>
    <w:rsid w:val="00947C97"/>
    <w:rsid w:val="00950B1D"/>
    <w:rsid w:val="00953061"/>
    <w:rsid w:val="0095306C"/>
    <w:rsid w:val="00953BB8"/>
    <w:rsid w:val="00953DD6"/>
    <w:rsid w:val="00955208"/>
    <w:rsid w:val="00956559"/>
    <w:rsid w:val="009571B6"/>
    <w:rsid w:val="00957A3F"/>
    <w:rsid w:val="00957CF8"/>
    <w:rsid w:val="00962832"/>
    <w:rsid w:val="00963897"/>
    <w:rsid w:val="00964496"/>
    <w:rsid w:val="0096494A"/>
    <w:rsid w:val="00965A38"/>
    <w:rsid w:val="009668B0"/>
    <w:rsid w:val="00967344"/>
    <w:rsid w:val="009726E5"/>
    <w:rsid w:val="0097294D"/>
    <w:rsid w:val="00974289"/>
    <w:rsid w:val="00974D75"/>
    <w:rsid w:val="00975819"/>
    <w:rsid w:val="00975F1B"/>
    <w:rsid w:val="009761C4"/>
    <w:rsid w:val="00976A36"/>
    <w:rsid w:val="00977649"/>
    <w:rsid w:val="0098032F"/>
    <w:rsid w:val="0098121C"/>
    <w:rsid w:val="00981C99"/>
    <w:rsid w:val="00985C6A"/>
    <w:rsid w:val="00985F47"/>
    <w:rsid w:val="009868F6"/>
    <w:rsid w:val="00986FEA"/>
    <w:rsid w:val="009871B1"/>
    <w:rsid w:val="00987EB5"/>
    <w:rsid w:val="0099036C"/>
    <w:rsid w:val="00990BB1"/>
    <w:rsid w:val="00991CC8"/>
    <w:rsid w:val="00991D6C"/>
    <w:rsid w:val="0099282A"/>
    <w:rsid w:val="00993527"/>
    <w:rsid w:val="00993F64"/>
    <w:rsid w:val="00994CD9"/>
    <w:rsid w:val="00994E01"/>
    <w:rsid w:val="00994F49"/>
    <w:rsid w:val="00994F79"/>
    <w:rsid w:val="009955A6"/>
    <w:rsid w:val="00995E7B"/>
    <w:rsid w:val="00996A3E"/>
    <w:rsid w:val="00997F34"/>
    <w:rsid w:val="009A0291"/>
    <w:rsid w:val="009A13A8"/>
    <w:rsid w:val="009A2720"/>
    <w:rsid w:val="009A2B1E"/>
    <w:rsid w:val="009A2D10"/>
    <w:rsid w:val="009A3E43"/>
    <w:rsid w:val="009A4F05"/>
    <w:rsid w:val="009A562C"/>
    <w:rsid w:val="009A6281"/>
    <w:rsid w:val="009A6A17"/>
    <w:rsid w:val="009A7171"/>
    <w:rsid w:val="009B1F71"/>
    <w:rsid w:val="009B2368"/>
    <w:rsid w:val="009B2CF6"/>
    <w:rsid w:val="009B38EF"/>
    <w:rsid w:val="009B4224"/>
    <w:rsid w:val="009B45AF"/>
    <w:rsid w:val="009B47F3"/>
    <w:rsid w:val="009B4BFB"/>
    <w:rsid w:val="009B57E5"/>
    <w:rsid w:val="009B5C21"/>
    <w:rsid w:val="009B63E6"/>
    <w:rsid w:val="009C13C8"/>
    <w:rsid w:val="009C14A9"/>
    <w:rsid w:val="009C1684"/>
    <w:rsid w:val="009C206F"/>
    <w:rsid w:val="009C3918"/>
    <w:rsid w:val="009C39AE"/>
    <w:rsid w:val="009C4EAE"/>
    <w:rsid w:val="009C6253"/>
    <w:rsid w:val="009C642D"/>
    <w:rsid w:val="009C68CD"/>
    <w:rsid w:val="009C7089"/>
    <w:rsid w:val="009D06E6"/>
    <w:rsid w:val="009D2AB5"/>
    <w:rsid w:val="009D2F18"/>
    <w:rsid w:val="009D33EE"/>
    <w:rsid w:val="009D3BA6"/>
    <w:rsid w:val="009D4D5E"/>
    <w:rsid w:val="009D4F46"/>
    <w:rsid w:val="009D564F"/>
    <w:rsid w:val="009D63F1"/>
    <w:rsid w:val="009D732C"/>
    <w:rsid w:val="009D7373"/>
    <w:rsid w:val="009D7D6F"/>
    <w:rsid w:val="009E061D"/>
    <w:rsid w:val="009E1D3A"/>
    <w:rsid w:val="009E3884"/>
    <w:rsid w:val="009E3A69"/>
    <w:rsid w:val="009E4E0E"/>
    <w:rsid w:val="009E667B"/>
    <w:rsid w:val="009E66E4"/>
    <w:rsid w:val="009E7668"/>
    <w:rsid w:val="009F0D95"/>
    <w:rsid w:val="009F0DBA"/>
    <w:rsid w:val="009F1B37"/>
    <w:rsid w:val="009F259B"/>
    <w:rsid w:val="009F2F02"/>
    <w:rsid w:val="009F47E4"/>
    <w:rsid w:val="009F524E"/>
    <w:rsid w:val="00A00482"/>
    <w:rsid w:val="00A00986"/>
    <w:rsid w:val="00A015F2"/>
    <w:rsid w:val="00A03706"/>
    <w:rsid w:val="00A05F86"/>
    <w:rsid w:val="00A06B87"/>
    <w:rsid w:val="00A07608"/>
    <w:rsid w:val="00A07F4D"/>
    <w:rsid w:val="00A11154"/>
    <w:rsid w:val="00A12336"/>
    <w:rsid w:val="00A12AC1"/>
    <w:rsid w:val="00A12E28"/>
    <w:rsid w:val="00A134E0"/>
    <w:rsid w:val="00A141AE"/>
    <w:rsid w:val="00A14D22"/>
    <w:rsid w:val="00A151E3"/>
    <w:rsid w:val="00A15202"/>
    <w:rsid w:val="00A15558"/>
    <w:rsid w:val="00A15E8F"/>
    <w:rsid w:val="00A20009"/>
    <w:rsid w:val="00A2239A"/>
    <w:rsid w:val="00A2297A"/>
    <w:rsid w:val="00A243AD"/>
    <w:rsid w:val="00A24D22"/>
    <w:rsid w:val="00A24F5E"/>
    <w:rsid w:val="00A25A8E"/>
    <w:rsid w:val="00A25AD4"/>
    <w:rsid w:val="00A27F12"/>
    <w:rsid w:val="00A300B1"/>
    <w:rsid w:val="00A31824"/>
    <w:rsid w:val="00A32636"/>
    <w:rsid w:val="00A33020"/>
    <w:rsid w:val="00A346D8"/>
    <w:rsid w:val="00A36962"/>
    <w:rsid w:val="00A37036"/>
    <w:rsid w:val="00A40D81"/>
    <w:rsid w:val="00A41381"/>
    <w:rsid w:val="00A4202B"/>
    <w:rsid w:val="00A43881"/>
    <w:rsid w:val="00A45118"/>
    <w:rsid w:val="00A45433"/>
    <w:rsid w:val="00A4571F"/>
    <w:rsid w:val="00A46096"/>
    <w:rsid w:val="00A477FE"/>
    <w:rsid w:val="00A47EE7"/>
    <w:rsid w:val="00A509D8"/>
    <w:rsid w:val="00A51127"/>
    <w:rsid w:val="00A513E5"/>
    <w:rsid w:val="00A51F75"/>
    <w:rsid w:val="00A52C59"/>
    <w:rsid w:val="00A5321D"/>
    <w:rsid w:val="00A53CAD"/>
    <w:rsid w:val="00A53FA5"/>
    <w:rsid w:val="00A557C9"/>
    <w:rsid w:val="00A55F5C"/>
    <w:rsid w:val="00A56960"/>
    <w:rsid w:val="00A56B8F"/>
    <w:rsid w:val="00A57393"/>
    <w:rsid w:val="00A577FF"/>
    <w:rsid w:val="00A5799F"/>
    <w:rsid w:val="00A60411"/>
    <w:rsid w:val="00A60B54"/>
    <w:rsid w:val="00A60E1F"/>
    <w:rsid w:val="00A611CF"/>
    <w:rsid w:val="00A61A8A"/>
    <w:rsid w:val="00A630C5"/>
    <w:rsid w:val="00A63B51"/>
    <w:rsid w:val="00A651B1"/>
    <w:rsid w:val="00A659A7"/>
    <w:rsid w:val="00A6605D"/>
    <w:rsid w:val="00A67231"/>
    <w:rsid w:val="00A67956"/>
    <w:rsid w:val="00A67B55"/>
    <w:rsid w:val="00A67C0A"/>
    <w:rsid w:val="00A700AA"/>
    <w:rsid w:val="00A73E0F"/>
    <w:rsid w:val="00A74D0E"/>
    <w:rsid w:val="00A74EFB"/>
    <w:rsid w:val="00A75A61"/>
    <w:rsid w:val="00A77824"/>
    <w:rsid w:val="00A77C41"/>
    <w:rsid w:val="00A8151A"/>
    <w:rsid w:val="00A8182E"/>
    <w:rsid w:val="00A8358F"/>
    <w:rsid w:val="00A83B3A"/>
    <w:rsid w:val="00A83FB2"/>
    <w:rsid w:val="00A842FE"/>
    <w:rsid w:val="00A85CB2"/>
    <w:rsid w:val="00A8789E"/>
    <w:rsid w:val="00A90D8D"/>
    <w:rsid w:val="00A91C51"/>
    <w:rsid w:val="00A9448A"/>
    <w:rsid w:val="00A9482B"/>
    <w:rsid w:val="00A95172"/>
    <w:rsid w:val="00A95575"/>
    <w:rsid w:val="00A96935"/>
    <w:rsid w:val="00A96A32"/>
    <w:rsid w:val="00A96AA8"/>
    <w:rsid w:val="00AA0693"/>
    <w:rsid w:val="00AA134B"/>
    <w:rsid w:val="00AA1B52"/>
    <w:rsid w:val="00AA21C8"/>
    <w:rsid w:val="00AA21DA"/>
    <w:rsid w:val="00AA25AD"/>
    <w:rsid w:val="00AA329A"/>
    <w:rsid w:val="00AA3A12"/>
    <w:rsid w:val="00AA3BD4"/>
    <w:rsid w:val="00AA3E91"/>
    <w:rsid w:val="00AA468A"/>
    <w:rsid w:val="00AA4992"/>
    <w:rsid w:val="00AA4B57"/>
    <w:rsid w:val="00AA4FCF"/>
    <w:rsid w:val="00AA6D4C"/>
    <w:rsid w:val="00AA725B"/>
    <w:rsid w:val="00AB2236"/>
    <w:rsid w:val="00AB2DF2"/>
    <w:rsid w:val="00AB2FA2"/>
    <w:rsid w:val="00AB5127"/>
    <w:rsid w:val="00AB5DA6"/>
    <w:rsid w:val="00AB605A"/>
    <w:rsid w:val="00AB6D66"/>
    <w:rsid w:val="00AB6DC9"/>
    <w:rsid w:val="00AB7D33"/>
    <w:rsid w:val="00AC0199"/>
    <w:rsid w:val="00AC074E"/>
    <w:rsid w:val="00AC1856"/>
    <w:rsid w:val="00AC233D"/>
    <w:rsid w:val="00AC330F"/>
    <w:rsid w:val="00AC346F"/>
    <w:rsid w:val="00AC55F8"/>
    <w:rsid w:val="00AC5E83"/>
    <w:rsid w:val="00AC6907"/>
    <w:rsid w:val="00AC7626"/>
    <w:rsid w:val="00AD0827"/>
    <w:rsid w:val="00AD1128"/>
    <w:rsid w:val="00AD1B5F"/>
    <w:rsid w:val="00AD2146"/>
    <w:rsid w:val="00AD214F"/>
    <w:rsid w:val="00AD2401"/>
    <w:rsid w:val="00AD3E57"/>
    <w:rsid w:val="00AD4186"/>
    <w:rsid w:val="00AD47D6"/>
    <w:rsid w:val="00AD503F"/>
    <w:rsid w:val="00AD5B57"/>
    <w:rsid w:val="00AD777A"/>
    <w:rsid w:val="00AE1553"/>
    <w:rsid w:val="00AE4310"/>
    <w:rsid w:val="00AE5062"/>
    <w:rsid w:val="00AE5E93"/>
    <w:rsid w:val="00AE62E8"/>
    <w:rsid w:val="00AE67F6"/>
    <w:rsid w:val="00AE712B"/>
    <w:rsid w:val="00AE7E2E"/>
    <w:rsid w:val="00AF0590"/>
    <w:rsid w:val="00AF2A44"/>
    <w:rsid w:val="00AF2A90"/>
    <w:rsid w:val="00AF2F05"/>
    <w:rsid w:val="00AF3671"/>
    <w:rsid w:val="00AF399D"/>
    <w:rsid w:val="00AF5170"/>
    <w:rsid w:val="00AF53DE"/>
    <w:rsid w:val="00AF6656"/>
    <w:rsid w:val="00AF68EA"/>
    <w:rsid w:val="00AF6BC6"/>
    <w:rsid w:val="00AF76E2"/>
    <w:rsid w:val="00B00498"/>
    <w:rsid w:val="00B01151"/>
    <w:rsid w:val="00B01B69"/>
    <w:rsid w:val="00B02ABA"/>
    <w:rsid w:val="00B03781"/>
    <w:rsid w:val="00B04222"/>
    <w:rsid w:val="00B05F79"/>
    <w:rsid w:val="00B06D88"/>
    <w:rsid w:val="00B10946"/>
    <w:rsid w:val="00B10B0F"/>
    <w:rsid w:val="00B114A0"/>
    <w:rsid w:val="00B114B8"/>
    <w:rsid w:val="00B11E3A"/>
    <w:rsid w:val="00B1231B"/>
    <w:rsid w:val="00B1241F"/>
    <w:rsid w:val="00B142F7"/>
    <w:rsid w:val="00B14C18"/>
    <w:rsid w:val="00B14E4B"/>
    <w:rsid w:val="00B16AE0"/>
    <w:rsid w:val="00B204D3"/>
    <w:rsid w:val="00B21241"/>
    <w:rsid w:val="00B221E8"/>
    <w:rsid w:val="00B223F0"/>
    <w:rsid w:val="00B23175"/>
    <w:rsid w:val="00B24A84"/>
    <w:rsid w:val="00B30788"/>
    <w:rsid w:val="00B3200F"/>
    <w:rsid w:val="00B32C85"/>
    <w:rsid w:val="00B32EA8"/>
    <w:rsid w:val="00B335EE"/>
    <w:rsid w:val="00B34CE7"/>
    <w:rsid w:val="00B35D1E"/>
    <w:rsid w:val="00B36C61"/>
    <w:rsid w:val="00B37B55"/>
    <w:rsid w:val="00B40D0D"/>
    <w:rsid w:val="00B44040"/>
    <w:rsid w:val="00B44F7B"/>
    <w:rsid w:val="00B51EBA"/>
    <w:rsid w:val="00B52B8B"/>
    <w:rsid w:val="00B54789"/>
    <w:rsid w:val="00B55457"/>
    <w:rsid w:val="00B556FE"/>
    <w:rsid w:val="00B57E62"/>
    <w:rsid w:val="00B612FD"/>
    <w:rsid w:val="00B613D6"/>
    <w:rsid w:val="00B615F1"/>
    <w:rsid w:val="00B620E7"/>
    <w:rsid w:val="00B639BC"/>
    <w:rsid w:val="00B65EE9"/>
    <w:rsid w:val="00B66454"/>
    <w:rsid w:val="00B672D8"/>
    <w:rsid w:val="00B676B0"/>
    <w:rsid w:val="00B67767"/>
    <w:rsid w:val="00B70444"/>
    <w:rsid w:val="00B7049F"/>
    <w:rsid w:val="00B715CD"/>
    <w:rsid w:val="00B71E8C"/>
    <w:rsid w:val="00B71EA7"/>
    <w:rsid w:val="00B72255"/>
    <w:rsid w:val="00B72C7C"/>
    <w:rsid w:val="00B73003"/>
    <w:rsid w:val="00B73B0C"/>
    <w:rsid w:val="00B7513D"/>
    <w:rsid w:val="00B76E32"/>
    <w:rsid w:val="00B76E3E"/>
    <w:rsid w:val="00B7763F"/>
    <w:rsid w:val="00B81401"/>
    <w:rsid w:val="00B81753"/>
    <w:rsid w:val="00B82789"/>
    <w:rsid w:val="00B82B6A"/>
    <w:rsid w:val="00B8374E"/>
    <w:rsid w:val="00B84C67"/>
    <w:rsid w:val="00B858EA"/>
    <w:rsid w:val="00B8794F"/>
    <w:rsid w:val="00B90D91"/>
    <w:rsid w:val="00B93940"/>
    <w:rsid w:val="00B940F3"/>
    <w:rsid w:val="00B94D06"/>
    <w:rsid w:val="00B9536E"/>
    <w:rsid w:val="00B95561"/>
    <w:rsid w:val="00B95B26"/>
    <w:rsid w:val="00B95DB4"/>
    <w:rsid w:val="00B979FB"/>
    <w:rsid w:val="00BA0E4E"/>
    <w:rsid w:val="00BA2E68"/>
    <w:rsid w:val="00BA3D31"/>
    <w:rsid w:val="00BA4800"/>
    <w:rsid w:val="00BA4AB1"/>
    <w:rsid w:val="00BA4D60"/>
    <w:rsid w:val="00BA5046"/>
    <w:rsid w:val="00BA5564"/>
    <w:rsid w:val="00BA6004"/>
    <w:rsid w:val="00BB1358"/>
    <w:rsid w:val="00BB2082"/>
    <w:rsid w:val="00BB5BD7"/>
    <w:rsid w:val="00BB7486"/>
    <w:rsid w:val="00BB76B0"/>
    <w:rsid w:val="00BC0C32"/>
    <w:rsid w:val="00BC16CC"/>
    <w:rsid w:val="00BC2FDD"/>
    <w:rsid w:val="00BC39D8"/>
    <w:rsid w:val="00BC4447"/>
    <w:rsid w:val="00BC5783"/>
    <w:rsid w:val="00BC5EBD"/>
    <w:rsid w:val="00BC62A4"/>
    <w:rsid w:val="00BC70EB"/>
    <w:rsid w:val="00BD00AD"/>
    <w:rsid w:val="00BD3A7D"/>
    <w:rsid w:val="00BD3D4D"/>
    <w:rsid w:val="00BD40A3"/>
    <w:rsid w:val="00BD7217"/>
    <w:rsid w:val="00BE036B"/>
    <w:rsid w:val="00BE0816"/>
    <w:rsid w:val="00BE1D43"/>
    <w:rsid w:val="00BE2525"/>
    <w:rsid w:val="00BE27DD"/>
    <w:rsid w:val="00BE2920"/>
    <w:rsid w:val="00BE2AA3"/>
    <w:rsid w:val="00BE2DF8"/>
    <w:rsid w:val="00BE355D"/>
    <w:rsid w:val="00BE35D1"/>
    <w:rsid w:val="00BE36E2"/>
    <w:rsid w:val="00BE61BB"/>
    <w:rsid w:val="00BF01C9"/>
    <w:rsid w:val="00BF03C6"/>
    <w:rsid w:val="00BF0F53"/>
    <w:rsid w:val="00BF249C"/>
    <w:rsid w:val="00BF2747"/>
    <w:rsid w:val="00BF3804"/>
    <w:rsid w:val="00BF3B81"/>
    <w:rsid w:val="00BF404A"/>
    <w:rsid w:val="00BF6531"/>
    <w:rsid w:val="00BF664C"/>
    <w:rsid w:val="00BF7223"/>
    <w:rsid w:val="00BF7CFA"/>
    <w:rsid w:val="00C00F05"/>
    <w:rsid w:val="00C01465"/>
    <w:rsid w:val="00C01642"/>
    <w:rsid w:val="00C02313"/>
    <w:rsid w:val="00C023AA"/>
    <w:rsid w:val="00C02581"/>
    <w:rsid w:val="00C0261D"/>
    <w:rsid w:val="00C029BD"/>
    <w:rsid w:val="00C0378A"/>
    <w:rsid w:val="00C03DBB"/>
    <w:rsid w:val="00C05F01"/>
    <w:rsid w:val="00C05FDA"/>
    <w:rsid w:val="00C0647B"/>
    <w:rsid w:val="00C077F9"/>
    <w:rsid w:val="00C07CB2"/>
    <w:rsid w:val="00C109A7"/>
    <w:rsid w:val="00C11E7E"/>
    <w:rsid w:val="00C13154"/>
    <w:rsid w:val="00C13945"/>
    <w:rsid w:val="00C14F55"/>
    <w:rsid w:val="00C21257"/>
    <w:rsid w:val="00C2130D"/>
    <w:rsid w:val="00C2188B"/>
    <w:rsid w:val="00C21D85"/>
    <w:rsid w:val="00C22356"/>
    <w:rsid w:val="00C22540"/>
    <w:rsid w:val="00C22942"/>
    <w:rsid w:val="00C22A9B"/>
    <w:rsid w:val="00C239ED"/>
    <w:rsid w:val="00C24437"/>
    <w:rsid w:val="00C24A5B"/>
    <w:rsid w:val="00C24C35"/>
    <w:rsid w:val="00C252F3"/>
    <w:rsid w:val="00C25A0B"/>
    <w:rsid w:val="00C26C42"/>
    <w:rsid w:val="00C270A7"/>
    <w:rsid w:val="00C274EB"/>
    <w:rsid w:val="00C27B74"/>
    <w:rsid w:val="00C30EF2"/>
    <w:rsid w:val="00C3207A"/>
    <w:rsid w:val="00C32232"/>
    <w:rsid w:val="00C346CE"/>
    <w:rsid w:val="00C35469"/>
    <w:rsid w:val="00C356EC"/>
    <w:rsid w:val="00C36CED"/>
    <w:rsid w:val="00C40155"/>
    <w:rsid w:val="00C4215C"/>
    <w:rsid w:val="00C43FAE"/>
    <w:rsid w:val="00C447B8"/>
    <w:rsid w:val="00C4492A"/>
    <w:rsid w:val="00C44976"/>
    <w:rsid w:val="00C464C0"/>
    <w:rsid w:val="00C46CB3"/>
    <w:rsid w:val="00C509CF"/>
    <w:rsid w:val="00C52699"/>
    <w:rsid w:val="00C52D7E"/>
    <w:rsid w:val="00C53321"/>
    <w:rsid w:val="00C53485"/>
    <w:rsid w:val="00C570D8"/>
    <w:rsid w:val="00C57579"/>
    <w:rsid w:val="00C57A1D"/>
    <w:rsid w:val="00C60660"/>
    <w:rsid w:val="00C60C7D"/>
    <w:rsid w:val="00C656B9"/>
    <w:rsid w:val="00C66121"/>
    <w:rsid w:val="00C66261"/>
    <w:rsid w:val="00C66470"/>
    <w:rsid w:val="00C673EC"/>
    <w:rsid w:val="00C67648"/>
    <w:rsid w:val="00C67A80"/>
    <w:rsid w:val="00C67AEF"/>
    <w:rsid w:val="00C70589"/>
    <w:rsid w:val="00C7062E"/>
    <w:rsid w:val="00C7089C"/>
    <w:rsid w:val="00C70E15"/>
    <w:rsid w:val="00C71D3C"/>
    <w:rsid w:val="00C72388"/>
    <w:rsid w:val="00C73298"/>
    <w:rsid w:val="00C736CD"/>
    <w:rsid w:val="00C74FA4"/>
    <w:rsid w:val="00C75A5A"/>
    <w:rsid w:val="00C76666"/>
    <w:rsid w:val="00C77F05"/>
    <w:rsid w:val="00C817B6"/>
    <w:rsid w:val="00C81F83"/>
    <w:rsid w:val="00C82346"/>
    <w:rsid w:val="00C83171"/>
    <w:rsid w:val="00C8386D"/>
    <w:rsid w:val="00C83BE4"/>
    <w:rsid w:val="00C84D77"/>
    <w:rsid w:val="00C86592"/>
    <w:rsid w:val="00C87292"/>
    <w:rsid w:val="00C87D8D"/>
    <w:rsid w:val="00C91838"/>
    <w:rsid w:val="00C92610"/>
    <w:rsid w:val="00C928FA"/>
    <w:rsid w:val="00C951B8"/>
    <w:rsid w:val="00C95615"/>
    <w:rsid w:val="00C962A3"/>
    <w:rsid w:val="00C967B9"/>
    <w:rsid w:val="00C971D1"/>
    <w:rsid w:val="00CA005D"/>
    <w:rsid w:val="00CA0ABB"/>
    <w:rsid w:val="00CA1285"/>
    <w:rsid w:val="00CA46E0"/>
    <w:rsid w:val="00CA7173"/>
    <w:rsid w:val="00CB043A"/>
    <w:rsid w:val="00CB1B29"/>
    <w:rsid w:val="00CB2149"/>
    <w:rsid w:val="00CB3890"/>
    <w:rsid w:val="00CB38EB"/>
    <w:rsid w:val="00CB41DD"/>
    <w:rsid w:val="00CB46D7"/>
    <w:rsid w:val="00CB76E1"/>
    <w:rsid w:val="00CB7F52"/>
    <w:rsid w:val="00CC1276"/>
    <w:rsid w:val="00CC3287"/>
    <w:rsid w:val="00CC4BBD"/>
    <w:rsid w:val="00CC5E94"/>
    <w:rsid w:val="00CC61BD"/>
    <w:rsid w:val="00CC7025"/>
    <w:rsid w:val="00CC71A7"/>
    <w:rsid w:val="00CD008B"/>
    <w:rsid w:val="00CD0B15"/>
    <w:rsid w:val="00CD2F74"/>
    <w:rsid w:val="00CD44D6"/>
    <w:rsid w:val="00CD4583"/>
    <w:rsid w:val="00CD5566"/>
    <w:rsid w:val="00CD58F7"/>
    <w:rsid w:val="00CD59C3"/>
    <w:rsid w:val="00CD5A1B"/>
    <w:rsid w:val="00CD5CC6"/>
    <w:rsid w:val="00CD7663"/>
    <w:rsid w:val="00CD7F68"/>
    <w:rsid w:val="00CE0389"/>
    <w:rsid w:val="00CE0F68"/>
    <w:rsid w:val="00CE1ECF"/>
    <w:rsid w:val="00CE2764"/>
    <w:rsid w:val="00CE2817"/>
    <w:rsid w:val="00CE354B"/>
    <w:rsid w:val="00CE43F8"/>
    <w:rsid w:val="00CE523A"/>
    <w:rsid w:val="00CE717C"/>
    <w:rsid w:val="00CE7CB9"/>
    <w:rsid w:val="00CF00D0"/>
    <w:rsid w:val="00CF13F8"/>
    <w:rsid w:val="00CF213C"/>
    <w:rsid w:val="00CF2320"/>
    <w:rsid w:val="00CF27F4"/>
    <w:rsid w:val="00CF3239"/>
    <w:rsid w:val="00CF345F"/>
    <w:rsid w:val="00CF4AE9"/>
    <w:rsid w:val="00CF4B3B"/>
    <w:rsid w:val="00CF65A3"/>
    <w:rsid w:val="00CF715E"/>
    <w:rsid w:val="00CF71D4"/>
    <w:rsid w:val="00D0098C"/>
    <w:rsid w:val="00D009F0"/>
    <w:rsid w:val="00D016B2"/>
    <w:rsid w:val="00D01FBB"/>
    <w:rsid w:val="00D037CC"/>
    <w:rsid w:val="00D04BA4"/>
    <w:rsid w:val="00D054F4"/>
    <w:rsid w:val="00D06779"/>
    <w:rsid w:val="00D068DB"/>
    <w:rsid w:val="00D06BCA"/>
    <w:rsid w:val="00D06F4F"/>
    <w:rsid w:val="00D07AB5"/>
    <w:rsid w:val="00D07DD5"/>
    <w:rsid w:val="00D114CA"/>
    <w:rsid w:val="00D11709"/>
    <w:rsid w:val="00D1252A"/>
    <w:rsid w:val="00D12891"/>
    <w:rsid w:val="00D13D90"/>
    <w:rsid w:val="00D13DC2"/>
    <w:rsid w:val="00D13E59"/>
    <w:rsid w:val="00D145C3"/>
    <w:rsid w:val="00D154B1"/>
    <w:rsid w:val="00D156EF"/>
    <w:rsid w:val="00D17149"/>
    <w:rsid w:val="00D17A5C"/>
    <w:rsid w:val="00D20137"/>
    <w:rsid w:val="00D20DDD"/>
    <w:rsid w:val="00D220CC"/>
    <w:rsid w:val="00D23DBC"/>
    <w:rsid w:val="00D24226"/>
    <w:rsid w:val="00D2445D"/>
    <w:rsid w:val="00D3015C"/>
    <w:rsid w:val="00D311E3"/>
    <w:rsid w:val="00D3120F"/>
    <w:rsid w:val="00D33DC3"/>
    <w:rsid w:val="00D344E2"/>
    <w:rsid w:val="00D35B75"/>
    <w:rsid w:val="00D36174"/>
    <w:rsid w:val="00D3694E"/>
    <w:rsid w:val="00D37B62"/>
    <w:rsid w:val="00D42807"/>
    <w:rsid w:val="00D42B44"/>
    <w:rsid w:val="00D43F72"/>
    <w:rsid w:val="00D43F79"/>
    <w:rsid w:val="00D44772"/>
    <w:rsid w:val="00D454F9"/>
    <w:rsid w:val="00D470EF"/>
    <w:rsid w:val="00D50E3E"/>
    <w:rsid w:val="00D5235D"/>
    <w:rsid w:val="00D525A2"/>
    <w:rsid w:val="00D5458C"/>
    <w:rsid w:val="00D554DF"/>
    <w:rsid w:val="00D56385"/>
    <w:rsid w:val="00D56B17"/>
    <w:rsid w:val="00D60CF5"/>
    <w:rsid w:val="00D62884"/>
    <w:rsid w:val="00D62AE6"/>
    <w:rsid w:val="00D62E93"/>
    <w:rsid w:val="00D647E8"/>
    <w:rsid w:val="00D64AA5"/>
    <w:rsid w:val="00D6586C"/>
    <w:rsid w:val="00D65C81"/>
    <w:rsid w:val="00D65D86"/>
    <w:rsid w:val="00D65F8F"/>
    <w:rsid w:val="00D66D87"/>
    <w:rsid w:val="00D672CD"/>
    <w:rsid w:val="00D703F2"/>
    <w:rsid w:val="00D70EC4"/>
    <w:rsid w:val="00D71BE4"/>
    <w:rsid w:val="00D7248B"/>
    <w:rsid w:val="00D72AC7"/>
    <w:rsid w:val="00D745C6"/>
    <w:rsid w:val="00D7528C"/>
    <w:rsid w:val="00D75AF0"/>
    <w:rsid w:val="00D75CF7"/>
    <w:rsid w:val="00D76092"/>
    <w:rsid w:val="00D76962"/>
    <w:rsid w:val="00D805BB"/>
    <w:rsid w:val="00D82C52"/>
    <w:rsid w:val="00D835DF"/>
    <w:rsid w:val="00D8572F"/>
    <w:rsid w:val="00D86DA9"/>
    <w:rsid w:val="00D911B4"/>
    <w:rsid w:val="00D91790"/>
    <w:rsid w:val="00D924F2"/>
    <w:rsid w:val="00D934D7"/>
    <w:rsid w:val="00D93E28"/>
    <w:rsid w:val="00D94E19"/>
    <w:rsid w:val="00D952B1"/>
    <w:rsid w:val="00D9631A"/>
    <w:rsid w:val="00D96958"/>
    <w:rsid w:val="00D96BAB"/>
    <w:rsid w:val="00DA0DBB"/>
    <w:rsid w:val="00DA29D0"/>
    <w:rsid w:val="00DA32A9"/>
    <w:rsid w:val="00DA4804"/>
    <w:rsid w:val="00DA4B04"/>
    <w:rsid w:val="00DA519F"/>
    <w:rsid w:val="00DA587E"/>
    <w:rsid w:val="00DA5AC4"/>
    <w:rsid w:val="00DA6E9E"/>
    <w:rsid w:val="00DA7429"/>
    <w:rsid w:val="00DA7B91"/>
    <w:rsid w:val="00DA7C57"/>
    <w:rsid w:val="00DB054D"/>
    <w:rsid w:val="00DB08DC"/>
    <w:rsid w:val="00DB1D2D"/>
    <w:rsid w:val="00DB37A8"/>
    <w:rsid w:val="00DB44C5"/>
    <w:rsid w:val="00DB4C09"/>
    <w:rsid w:val="00DB6087"/>
    <w:rsid w:val="00DB6C6A"/>
    <w:rsid w:val="00DB6C92"/>
    <w:rsid w:val="00DB7C36"/>
    <w:rsid w:val="00DC02E7"/>
    <w:rsid w:val="00DC2DAE"/>
    <w:rsid w:val="00DC348E"/>
    <w:rsid w:val="00DC497F"/>
    <w:rsid w:val="00DC4DCC"/>
    <w:rsid w:val="00DC59BB"/>
    <w:rsid w:val="00DC6B17"/>
    <w:rsid w:val="00DC6ECB"/>
    <w:rsid w:val="00DC74F1"/>
    <w:rsid w:val="00DC76B9"/>
    <w:rsid w:val="00DD04F9"/>
    <w:rsid w:val="00DD06F6"/>
    <w:rsid w:val="00DD08E0"/>
    <w:rsid w:val="00DD1192"/>
    <w:rsid w:val="00DD1580"/>
    <w:rsid w:val="00DD27DF"/>
    <w:rsid w:val="00DD3200"/>
    <w:rsid w:val="00DD41DB"/>
    <w:rsid w:val="00DD65B0"/>
    <w:rsid w:val="00DD6A79"/>
    <w:rsid w:val="00DE075B"/>
    <w:rsid w:val="00DE1B91"/>
    <w:rsid w:val="00DE2865"/>
    <w:rsid w:val="00DE31AD"/>
    <w:rsid w:val="00DE549A"/>
    <w:rsid w:val="00DE573B"/>
    <w:rsid w:val="00DE5F94"/>
    <w:rsid w:val="00DE72A0"/>
    <w:rsid w:val="00DF00F1"/>
    <w:rsid w:val="00DF0FAE"/>
    <w:rsid w:val="00DF1375"/>
    <w:rsid w:val="00DF2194"/>
    <w:rsid w:val="00DF3911"/>
    <w:rsid w:val="00DF3B53"/>
    <w:rsid w:val="00DF3F73"/>
    <w:rsid w:val="00DF497D"/>
    <w:rsid w:val="00DF4B17"/>
    <w:rsid w:val="00DF4BC7"/>
    <w:rsid w:val="00DF5577"/>
    <w:rsid w:val="00DF6BE4"/>
    <w:rsid w:val="00DF6E68"/>
    <w:rsid w:val="00DF73FF"/>
    <w:rsid w:val="00DF7434"/>
    <w:rsid w:val="00E00ABD"/>
    <w:rsid w:val="00E01490"/>
    <w:rsid w:val="00E02197"/>
    <w:rsid w:val="00E0275D"/>
    <w:rsid w:val="00E02F62"/>
    <w:rsid w:val="00E04031"/>
    <w:rsid w:val="00E07917"/>
    <w:rsid w:val="00E079BE"/>
    <w:rsid w:val="00E10634"/>
    <w:rsid w:val="00E10A1E"/>
    <w:rsid w:val="00E129B6"/>
    <w:rsid w:val="00E149A2"/>
    <w:rsid w:val="00E15487"/>
    <w:rsid w:val="00E16539"/>
    <w:rsid w:val="00E17E8C"/>
    <w:rsid w:val="00E205FE"/>
    <w:rsid w:val="00E21456"/>
    <w:rsid w:val="00E21510"/>
    <w:rsid w:val="00E21894"/>
    <w:rsid w:val="00E21D97"/>
    <w:rsid w:val="00E22B1C"/>
    <w:rsid w:val="00E24B59"/>
    <w:rsid w:val="00E26D17"/>
    <w:rsid w:val="00E27F6D"/>
    <w:rsid w:val="00E32720"/>
    <w:rsid w:val="00E32C39"/>
    <w:rsid w:val="00E35971"/>
    <w:rsid w:val="00E36272"/>
    <w:rsid w:val="00E37DF7"/>
    <w:rsid w:val="00E40ABA"/>
    <w:rsid w:val="00E41ED8"/>
    <w:rsid w:val="00E449BE"/>
    <w:rsid w:val="00E4592D"/>
    <w:rsid w:val="00E50E90"/>
    <w:rsid w:val="00E52127"/>
    <w:rsid w:val="00E52B8C"/>
    <w:rsid w:val="00E54255"/>
    <w:rsid w:val="00E54A5F"/>
    <w:rsid w:val="00E54D15"/>
    <w:rsid w:val="00E55A54"/>
    <w:rsid w:val="00E56D02"/>
    <w:rsid w:val="00E57D3B"/>
    <w:rsid w:val="00E57DDD"/>
    <w:rsid w:val="00E60563"/>
    <w:rsid w:val="00E60B36"/>
    <w:rsid w:val="00E60D45"/>
    <w:rsid w:val="00E617BE"/>
    <w:rsid w:val="00E61879"/>
    <w:rsid w:val="00E62081"/>
    <w:rsid w:val="00E6442E"/>
    <w:rsid w:val="00E65AEA"/>
    <w:rsid w:val="00E65B63"/>
    <w:rsid w:val="00E66923"/>
    <w:rsid w:val="00E66FF8"/>
    <w:rsid w:val="00E720B9"/>
    <w:rsid w:val="00E727A9"/>
    <w:rsid w:val="00E72A7D"/>
    <w:rsid w:val="00E72C33"/>
    <w:rsid w:val="00E7482D"/>
    <w:rsid w:val="00E7526C"/>
    <w:rsid w:val="00E756C5"/>
    <w:rsid w:val="00E80E09"/>
    <w:rsid w:val="00E81156"/>
    <w:rsid w:val="00E81D54"/>
    <w:rsid w:val="00E820C4"/>
    <w:rsid w:val="00E82306"/>
    <w:rsid w:val="00E838A1"/>
    <w:rsid w:val="00E8526C"/>
    <w:rsid w:val="00E865A6"/>
    <w:rsid w:val="00E86811"/>
    <w:rsid w:val="00E86AF1"/>
    <w:rsid w:val="00E875A2"/>
    <w:rsid w:val="00E87607"/>
    <w:rsid w:val="00E901D1"/>
    <w:rsid w:val="00E90744"/>
    <w:rsid w:val="00E910C1"/>
    <w:rsid w:val="00E92DF0"/>
    <w:rsid w:val="00E92EF0"/>
    <w:rsid w:val="00E957EA"/>
    <w:rsid w:val="00E95F2A"/>
    <w:rsid w:val="00E96567"/>
    <w:rsid w:val="00E96F65"/>
    <w:rsid w:val="00EA022D"/>
    <w:rsid w:val="00EA0AB9"/>
    <w:rsid w:val="00EA15A4"/>
    <w:rsid w:val="00EA19E0"/>
    <w:rsid w:val="00EA1E9F"/>
    <w:rsid w:val="00EA4DE0"/>
    <w:rsid w:val="00EA5784"/>
    <w:rsid w:val="00EA6F7E"/>
    <w:rsid w:val="00EA7493"/>
    <w:rsid w:val="00EB0C07"/>
    <w:rsid w:val="00EB2085"/>
    <w:rsid w:val="00EB2B8E"/>
    <w:rsid w:val="00EB5ABB"/>
    <w:rsid w:val="00EB5FBB"/>
    <w:rsid w:val="00EB6B00"/>
    <w:rsid w:val="00EB735A"/>
    <w:rsid w:val="00EC076D"/>
    <w:rsid w:val="00EC089C"/>
    <w:rsid w:val="00EC0B14"/>
    <w:rsid w:val="00EC14F5"/>
    <w:rsid w:val="00EC1655"/>
    <w:rsid w:val="00EC2D99"/>
    <w:rsid w:val="00EC325B"/>
    <w:rsid w:val="00EC4CA4"/>
    <w:rsid w:val="00EC4F2E"/>
    <w:rsid w:val="00EC56E7"/>
    <w:rsid w:val="00EC7136"/>
    <w:rsid w:val="00EC7995"/>
    <w:rsid w:val="00ED00AC"/>
    <w:rsid w:val="00ED0D9F"/>
    <w:rsid w:val="00ED1E99"/>
    <w:rsid w:val="00ED2AC1"/>
    <w:rsid w:val="00ED34A2"/>
    <w:rsid w:val="00ED3FF7"/>
    <w:rsid w:val="00ED421D"/>
    <w:rsid w:val="00ED4453"/>
    <w:rsid w:val="00ED56A4"/>
    <w:rsid w:val="00ED5EBE"/>
    <w:rsid w:val="00ED69E8"/>
    <w:rsid w:val="00ED6B28"/>
    <w:rsid w:val="00ED6C38"/>
    <w:rsid w:val="00EE168F"/>
    <w:rsid w:val="00EE1BD5"/>
    <w:rsid w:val="00EE241D"/>
    <w:rsid w:val="00EE353B"/>
    <w:rsid w:val="00EE3821"/>
    <w:rsid w:val="00EE3971"/>
    <w:rsid w:val="00EE3F66"/>
    <w:rsid w:val="00EE427E"/>
    <w:rsid w:val="00EE4460"/>
    <w:rsid w:val="00EE4BD8"/>
    <w:rsid w:val="00EE52A2"/>
    <w:rsid w:val="00EE5B5F"/>
    <w:rsid w:val="00EE5E5E"/>
    <w:rsid w:val="00EE709B"/>
    <w:rsid w:val="00EE7AD0"/>
    <w:rsid w:val="00EF0C84"/>
    <w:rsid w:val="00EF4709"/>
    <w:rsid w:val="00EF6D04"/>
    <w:rsid w:val="00EF74C7"/>
    <w:rsid w:val="00EF7B2F"/>
    <w:rsid w:val="00F031ED"/>
    <w:rsid w:val="00F03880"/>
    <w:rsid w:val="00F0402C"/>
    <w:rsid w:val="00F04FCF"/>
    <w:rsid w:val="00F05134"/>
    <w:rsid w:val="00F06C52"/>
    <w:rsid w:val="00F07523"/>
    <w:rsid w:val="00F12331"/>
    <w:rsid w:val="00F144E1"/>
    <w:rsid w:val="00F1472A"/>
    <w:rsid w:val="00F1620F"/>
    <w:rsid w:val="00F1775D"/>
    <w:rsid w:val="00F17937"/>
    <w:rsid w:val="00F202CD"/>
    <w:rsid w:val="00F2156B"/>
    <w:rsid w:val="00F21DFC"/>
    <w:rsid w:val="00F2294C"/>
    <w:rsid w:val="00F27428"/>
    <w:rsid w:val="00F302B6"/>
    <w:rsid w:val="00F30A57"/>
    <w:rsid w:val="00F32D12"/>
    <w:rsid w:val="00F32EA3"/>
    <w:rsid w:val="00F3388A"/>
    <w:rsid w:val="00F341EF"/>
    <w:rsid w:val="00F34957"/>
    <w:rsid w:val="00F34CD9"/>
    <w:rsid w:val="00F34FDB"/>
    <w:rsid w:val="00F3531B"/>
    <w:rsid w:val="00F3541C"/>
    <w:rsid w:val="00F35883"/>
    <w:rsid w:val="00F36883"/>
    <w:rsid w:val="00F36A1A"/>
    <w:rsid w:val="00F36EDF"/>
    <w:rsid w:val="00F37A03"/>
    <w:rsid w:val="00F410FD"/>
    <w:rsid w:val="00F415C5"/>
    <w:rsid w:val="00F423AF"/>
    <w:rsid w:val="00F44C64"/>
    <w:rsid w:val="00F45A5F"/>
    <w:rsid w:val="00F4698E"/>
    <w:rsid w:val="00F478D4"/>
    <w:rsid w:val="00F47A51"/>
    <w:rsid w:val="00F50548"/>
    <w:rsid w:val="00F50959"/>
    <w:rsid w:val="00F51819"/>
    <w:rsid w:val="00F519AC"/>
    <w:rsid w:val="00F5267A"/>
    <w:rsid w:val="00F52C7E"/>
    <w:rsid w:val="00F52D4C"/>
    <w:rsid w:val="00F53589"/>
    <w:rsid w:val="00F6004D"/>
    <w:rsid w:val="00F60E2E"/>
    <w:rsid w:val="00F6311F"/>
    <w:rsid w:val="00F63326"/>
    <w:rsid w:val="00F63F90"/>
    <w:rsid w:val="00F64C69"/>
    <w:rsid w:val="00F65EA0"/>
    <w:rsid w:val="00F66A80"/>
    <w:rsid w:val="00F67FB8"/>
    <w:rsid w:val="00F70690"/>
    <w:rsid w:val="00F70B18"/>
    <w:rsid w:val="00F72E93"/>
    <w:rsid w:val="00F7497F"/>
    <w:rsid w:val="00F74DC2"/>
    <w:rsid w:val="00F75F4C"/>
    <w:rsid w:val="00F7615E"/>
    <w:rsid w:val="00F76417"/>
    <w:rsid w:val="00F76815"/>
    <w:rsid w:val="00F804A3"/>
    <w:rsid w:val="00F80B42"/>
    <w:rsid w:val="00F81175"/>
    <w:rsid w:val="00F8210D"/>
    <w:rsid w:val="00F82386"/>
    <w:rsid w:val="00F832AC"/>
    <w:rsid w:val="00F8331F"/>
    <w:rsid w:val="00F843E4"/>
    <w:rsid w:val="00F8472E"/>
    <w:rsid w:val="00F85926"/>
    <w:rsid w:val="00F8741A"/>
    <w:rsid w:val="00F87748"/>
    <w:rsid w:val="00F92480"/>
    <w:rsid w:val="00F93844"/>
    <w:rsid w:val="00F94CC5"/>
    <w:rsid w:val="00F95BE2"/>
    <w:rsid w:val="00F95DD0"/>
    <w:rsid w:val="00F96B40"/>
    <w:rsid w:val="00F974F0"/>
    <w:rsid w:val="00F979DA"/>
    <w:rsid w:val="00F97A52"/>
    <w:rsid w:val="00FA0A8A"/>
    <w:rsid w:val="00FA1498"/>
    <w:rsid w:val="00FA20FA"/>
    <w:rsid w:val="00FA22AB"/>
    <w:rsid w:val="00FA253F"/>
    <w:rsid w:val="00FA4216"/>
    <w:rsid w:val="00FA57A3"/>
    <w:rsid w:val="00FB1485"/>
    <w:rsid w:val="00FB1D21"/>
    <w:rsid w:val="00FB2784"/>
    <w:rsid w:val="00FB5BEF"/>
    <w:rsid w:val="00FB7C4D"/>
    <w:rsid w:val="00FC12E4"/>
    <w:rsid w:val="00FC51FB"/>
    <w:rsid w:val="00FC5384"/>
    <w:rsid w:val="00FC6514"/>
    <w:rsid w:val="00FC67E7"/>
    <w:rsid w:val="00FC697A"/>
    <w:rsid w:val="00FC6D22"/>
    <w:rsid w:val="00FC77D4"/>
    <w:rsid w:val="00FD0A2E"/>
    <w:rsid w:val="00FD1281"/>
    <w:rsid w:val="00FD1C83"/>
    <w:rsid w:val="00FD1E0B"/>
    <w:rsid w:val="00FD1ECC"/>
    <w:rsid w:val="00FD4461"/>
    <w:rsid w:val="00FD51D8"/>
    <w:rsid w:val="00FD68C0"/>
    <w:rsid w:val="00FD6FF2"/>
    <w:rsid w:val="00FD72EC"/>
    <w:rsid w:val="00FD7697"/>
    <w:rsid w:val="00FE045A"/>
    <w:rsid w:val="00FE1579"/>
    <w:rsid w:val="00FE1CD7"/>
    <w:rsid w:val="00FE210B"/>
    <w:rsid w:val="00FE492D"/>
    <w:rsid w:val="00FE553D"/>
    <w:rsid w:val="00FE79D7"/>
    <w:rsid w:val="00FF0E5F"/>
    <w:rsid w:val="00FF1D79"/>
    <w:rsid w:val="00FF2B8E"/>
    <w:rsid w:val="00FF2C83"/>
    <w:rsid w:val="00FF307B"/>
    <w:rsid w:val="00FF3D23"/>
    <w:rsid w:val="00FF3F79"/>
    <w:rsid w:val="00FF635B"/>
    <w:rsid w:val="00FF72FE"/>
    <w:rsid w:val="00FF74C5"/>
    <w:rsid w:val="00FF78FA"/>
    <w:rsid w:val="00FF7B90"/>
    <w:rsid w:val="069C26D7"/>
    <w:rsid w:val="07CD61E7"/>
    <w:rsid w:val="07F3348F"/>
    <w:rsid w:val="087D7194"/>
    <w:rsid w:val="08E90D2F"/>
    <w:rsid w:val="0EA14B6C"/>
    <w:rsid w:val="11A7216C"/>
    <w:rsid w:val="12790825"/>
    <w:rsid w:val="139045E3"/>
    <w:rsid w:val="13E82E31"/>
    <w:rsid w:val="14EE5298"/>
    <w:rsid w:val="18301EFE"/>
    <w:rsid w:val="1B3815C7"/>
    <w:rsid w:val="1BF63FA0"/>
    <w:rsid w:val="1D5519AC"/>
    <w:rsid w:val="22746F01"/>
    <w:rsid w:val="22C03962"/>
    <w:rsid w:val="272F1BE7"/>
    <w:rsid w:val="291962FC"/>
    <w:rsid w:val="2BDA1290"/>
    <w:rsid w:val="2C0B7DBE"/>
    <w:rsid w:val="2D7C1F94"/>
    <w:rsid w:val="2D95562C"/>
    <w:rsid w:val="2E100774"/>
    <w:rsid w:val="2F000E4E"/>
    <w:rsid w:val="2F6520E4"/>
    <w:rsid w:val="33440498"/>
    <w:rsid w:val="344C64B6"/>
    <w:rsid w:val="347D1F1C"/>
    <w:rsid w:val="36053D7A"/>
    <w:rsid w:val="393A60E6"/>
    <w:rsid w:val="3A3C65BD"/>
    <w:rsid w:val="3C400292"/>
    <w:rsid w:val="3E850CFE"/>
    <w:rsid w:val="3F36490E"/>
    <w:rsid w:val="3F5A2568"/>
    <w:rsid w:val="3FAB0683"/>
    <w:rsid w:val="3FBA4161"/>
    <w:rsid w:val="42E80DC3"/>
    <w:rsid w:val="43017E16"/>
    <w:rsid w:val="49F205FE"/>
    <w:rsid w:val="4A9F68B1"/>
    <w:rsid w:val="50B90969"/>
    <w:rsid w:val="53F14A9B"/>
    <w:rsid w:val="54AF3092"/>
    <w:rsid w:val="56AE5034"/>
    <w:rsid w:val="67FB4E04"/>
    <w:rsid w:val="680C6891"/>
    <w:rsid w:val="6A9F2DA8"/>
    <w:rsid w:val="6CF27201"/>
    <w:rsid w:val="6DB52ABB"/>
    <w:rsid w:val="74CC01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8"/>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59"/>
    <w:qFormat/>
    <w:uiPriority w:val="0"/>
    <w:pPr>
      <w:keepNext/>
      <w:keepLines/>
      <w:spacing w:before="260" w:after="260" w:line="413" w:lineRule="auto"/>
      <w:outlineLvl w:val="1"/>
    </w:pPr>
    <w:rPr>
      <w:rFonts w:ascii="Cambria" w:hAnsi="Cambria"/>
      <w:b/>
      <w:bCs/>
      <w:sz w:val="32"/>
      <w:szCs w:val="32"/>
    </w:rPr>
  </w:style>
  <w:style w:type="paragraph" w:styleId="4">
    <w:name w:val="heading 3"/>
    <w:basedOn w:val="1"/>
    <w:next w:val="1"/>
    <w:link w:val="60"/>
    <w:qFormat/>
    <w:uiPriority w:val="0"/>
    <w:pPr>
      <w:keepNext/>
      <w:keepLines/>
      <w:spacing w:before="260" w:after="260" w:line="413" w:lineRule="auto"/>
      <w:outlineLvl w:val="2"/>
    </w:pPr>
    <w:rPr>
      <w:b/>
      <w:bCs/>
      <w:sz w:val="32"/>
      <w:szCs w:val="32"/>
    </w:rPr>
  </w:style>
  <w:style w:type="paragraph" w:styleId="5">
    <w:name w:val="heading 4"/>
    <w:basedOn w:val="1"/>
    <w:next w:val="1"/>
    <w:link w:val="61"/>
    <w:qFormat/>
    <w:uiPriority w:val="0"/>
    <w:pPr>
      <w:widowControl/>
      <w:spacing w:before="100" w:beforeAutospacing="1" w:after="100" w:afterAutospacing="1"/>
      <w:jc w:val="left"/>
      <w:outlineLvl w:val="3"/>
    </w:pPr>
    <w:rPr>
      <w:rFonts w:ascii="宋体" w:hAnsi="宋体"/>
      <w:b/>
      <w:bCs/>
      <w:kern w:val="0"/>
      <w:sz w:val="24"/>
    </w:rPr>
  </w:style>
  <w:style w:type="paragraph" w:styleId="6">
    <w:name w:val="heading 5"/>
    <w:basedOn w:val="1"/>
    <w:next w:val="1"/>
    <w:link w:val="62"/>
    <w:qFormat/>
    <w:uiPriority w:val="0"/>
    <w:pPr>
      <w:widowControl/>
      <w:spacing w:before="100" w:beforeAutospacing="1" w:after="100" w:afterAutospacing="1"/>
      <w:jc w:val="left"/>
      <w:outlineLvl w:val="4"/>
    </w:pPr>
    <w:rPr>
      <w:rFonts w:ascii="宋体" w:hAnsi="宋体"/>
      <w:b/>
      <w:bCs/>
      <w:kern w:val="0"/>
      <w:sz w:val="20"/>
      <w:szCs w:val="20"/>
    </w:rPr>
  </w:style>
  <w:style w:type="paragraph" w:styleId="7">
    <w:name w:val="heading 6"/>
    <w:basedOn w:val="8"/>
    <w:next w:val="1"/>
    <w:link w:val="63"/>
    <w:qFormat/>
    <w:uiPriority w:val="0"/>
    <w:pPr>
      <w:keepNext/>
      <w:keepLines/>
      <w:ind w:firstLine="200" w:firstLineChars="200"/>
      <w:outlineLvl w:val="5"/>
    </w:pPr>
    <w:rPr>
      <w:rFonts w:hAnsi="Arial"/>
    </w:rPr>
  </w:style>
  <w:style w:type="paragraph" w:styleId="9">
    <w:name w:val="heading 7"/>
    <w:basedOn w:val="1"/>
    <w:next w:val="1"/>
    <w:link w:val="64"/>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0">
    <w:name w:val="heading 8"/>
    <w:basedOn w:val="1"/>
    <w:next w:val="1"/>
    <w:link w:val="65"/>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1">
    <w:name w:val="heading 9"/>
    <w:basedOn w:val="1"/>
    <w:next w:val="1"/>
    <w:link w:val="66"/>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48">
    <w:name w:val="Default Paragraph Font"/>
    <w:semiHidden/>
    <w:unhideWhenUsed/>
    <w:qFormat/>
    <w:uiPriority w:val="1"/>
  </w:style>
  <w:style w:type="table" w:default="1" w:styleId="57">
    <w:name w:val="Normal Table"/>
    <w:semiHidden/>
    <w:unhideWhenUsed/>
    <w:qFormat/>
    <w:uiPriority w:val="99"/>
    <w:tblPr>
      <w:tblLayout w:type="fixed"/>
      <w:tblCellMar>
        <w:top w:w="0" w:type="dxa"/>
        <w:left w:w="108" w:type="dxa"/>
        <w:bottom w:w="0" w:type="dxa"/>
        <w:right w:w="108" w:type="dxa"/>
      </w:tblCellMar>
    </w:tblPr>
  </w:style>
  <w:style w:type="paragraph" w:styleId="8">
    <w:name w:val="Normal Indent"/>
    <w:basedOn w:val="1"/>
    <w:qFormat/>
    <w:uiPriority w:val="0"/>
    <w:pPr>
      <w:adjustRightInd w:val="0"/>
      <w:spacing w:line="480" w:lineRule="atLeast"/>
      <w:ind w:firstLine="600"/>
      <w:textAlignment w:val="baseline"/>
    </w:pPr>
    <w:rPr>
      <w:rFonts w:eastAsia="仿宋_GB2312"/>
      <w:kern w:val="0"/>
      <w:sz w:val="30"/>
      <w:szCs w:val="20"/>
    </w:rPr>
  </w:style>
  <w:style w:type="paragraph" w:styleId="12">
    <w:name w:val="List 3"/>
    <w:basedOn w:val="1"/>
    <w:qFormat/>
    <w:uiPriority w:val="0"/>
    <w:pPr>
      <w:ind w:left="1260" w:hanging="420"/>
    </w:pPr>
    <w:rPr>
      <w:szCs w:val="20"/>
    </w:rPr>
  </w:style>
  <w:style w:type="paragraph" w:styleId="13">
    <w:name w:val="annotation subject"/>
    <w:basedOn w:val="14"/>
    <w:next w:val="14"/>
    <w:link w:val="76"/>
    <w:qFormat/>
    <w:uiPriority w:val="0"/>
    <w:rPr>
      <w:b/>
      <w:bCs/>
    </w:rPr>
  </w:style>
  <w:style w:type="paragraph" w:styleId="14">
    <w:name w:val="annotation text"/>
    <w:basedOn w:val="1"/>
    <w:link w:val="77"/>
    <w:qFormat/>
    <w:uiPriority w:val="0"/>
    <w:pPr>
      <w:jc w:val="left"/>
    </w:pPr>
  </w:style>
  <w:style w:type="paragraph" w:styleId="15">
    <w:name w:val="toc 7"/>
    <w:basedOn w:val="1"/>
    <w:next w:val="1"/>
    <w:qFormat/>
    <w:uiPriority w:val="0"/>
    <w:pPr>
      <w:ind w:left="1260"/>
      <w:jc w:val="left"/>
    </w:pPr>
    <w:rPr>
      <w:sz w:val="18"/>
      <w:szCs w:val="18"/>
    </w:rPr>
  </w:style>
  <w:style w:type="paragraph" w:styleId="16">
    <w:name w:val="Body Text First Indent"/>
    <w:basedOn w:val="1"/>
    <w:link w:val="303"/>
    <w:qFormat/>
    <w:uiPriority w:val="0"/>
    <w:pPr>
      <w:spacing w:line="312" w:lineRule="auto"/>
      <w:ind w:firstLine="420"/>
    </w:pPr>
  </w:style>
  <w:style w:type="paragraph" w:styleId="17">
    <w:name w:val="caption"/>
    <w:basedOn w:val="1"/>
    <w:next w:val="1"/>
    <w:qFormat/>
    <w:uiPriority w:val="0"/>
    <w:rPr>
      <w:rFonts w:ascii="Cambria" w:hAnsi="Cambria" w:eastAsia="黑体"/>
      <w:sz w:val="20"/>
      <w:szCs w:val="20"/>
    </w:rPr>
  </w:style>
  <w:style w:type="paragraph" w:styleId="18">
    <w:name w:val="Document Map"/>
    <w:basedOn w:val="1"/>
    <w:link w:val="81"/>
    <w:qFormat/>
    <w:uiPriority w:val="0"/>
    <w:pPr>
      <w:shd w:val="clear" w:color="auto" w:fill="000080"/>
    </w:pPr>
    <w:rPr>
      <w:shd w:val="clear" w:color="auto" w:fill="000080"/>
    </w:rPr>
  </w:style>
  <w:style w:type="paragraph" w:styleId="19">
    <w:name w:val="Body Text 3"/>
    <w:basedOn w:val="1"/>
    <w:link w:val="78"/>
    <w:qFormat/>
    <w:uiPriority w:val="0"/>
    <w:pPr>
      <w:spacing w:after="120"/>
    </w:pPr>
    <w:rPr>
      <w:sz w:val="16"/>
      <w:szCs w:val="16"/>
    </w:rPr>
  </w:style>
  <w:style w:type="paragraph" w:styleId="20">
    <w:name w:val="Body Text"/>
    <w:basedOn w:val="1"/>
    <w:link w:val="75"/>
    <w:qFormat/>
    <w:uiPriority w:val="0"/>
    <w:pPr>
      <w:spacing w:after="120"/>
    </w:pPr>
  </w:style>
  <w:style w:type="paragraph" w:styleId="21">
    <w:name w:val="Body Text Indent"/>
    <w:basedOn w:val="1"/>
    <w:link w:val="97"/>
    <w:qFormat/>
    <w:uiPriority w:val="0"/>
    <w:pPr>
      <w:ind w:firstLine="407" w:firstLineChars="200"/>
    </w:pPr>
  </w:style>
  <w:style w:type="paragraph" w:styleId="22">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3">
    <w:name w:val="index 4"/>
    <w:basedOn w:val="1"/>
    <w:next w:val="1"/>
    <w:qFormat/>
    <w:uiPriority w:val="0"/>
    <w:pPr>
      <w:ind w:left="600" w:leftChars="600"/>
    </w:pPr>
  </w:style>
  <w:style w:type="paragraph" w:styleId="24">
    <w:name w:val="toc 5"/>
    <w:basedOn w:val="1"/>
    <w:next w:val="1"/>
    <w:qFormat/>
    <w:uiPriority w:val="0"/>
    <w:pPr>
      <w:ind w:left="840"/>
      <w:jc w:val="left"/>
    </w:pPr>
    <w:rPr>
      <w:sz w:val="18"/>
      <w:szCs w:val="18"/>
    </w:rPr>
  </w:style>
  <w:style w:type="paragraph" w:styleId="25">
    <w:name w:val="toc 3"/>
    <w:basedOn w:val="4"/>
    <w:next w:val="1"/>
    <w:qFormat/>
    <w:uiPriority w:val="0"/>
    <w:pPr>
      <w:keepNext w:val="0"/>
      <w:keepLines w:val="0"/>
      <w:spacing w:before="0" w:after="0" w:line="240" w:lineRule="auto"/>
      <w:ind w:left="420"/>
      <w:jc w:val="left"/>
      <w:outlineLvl w:val="9"/>
    </w:pPr>
    <w:rPr>
      <w:b w:val="0"/>
      <w:bCs w:val="0"/>
      <w:iCs/>
      <w:sz w:val="21"/>
      <w:szCs w:val="20"/>
    </w:rPr>
  </w:style>
  <w:style w:type="paragraph" w:styleId="26">
    <w:name w:val="Plain Text"/>
    <w:basedOn w:val="1"/>
    <w:link w:val="101"/>
    <w:qFormat/>
    <w:uiPriority w:val="0"/>
    <w:rPr>
      <w:rFonts w:ascii="宋体" w:hAnsi="Courier New"/>
      <w:szCs w:val="21"/>
    </w:rPr>
  </w:style>
  <w:style w:type="paragraph" w:styleId="27">
    <w:name w:val="toc 8"/>
    <w:basedOn w:val="1"/>
    <w:next w:val="1"/>
    <w:qFormat/>
    <w:uiPriority w:val="0"/>
    <w:pPr>
      <w:ind w:left="1470"/>
      <w:jc w:val="left"/>
    </w:pPr>
    <w:rPr>
      <w:sz w:val="18"/>
      <w:szCs w:val="18"/>
    </w:rPr>
  </w:style>
  <w:style w:type="paragraph" w:styleId="28">
    <w:name w:val="Date"/>
    <w:basedOn w:val="1"/>
    <w:next w:val="1"/>
    <w:link w:val="92"/>
    <w:qFormat/>
    <w:uiPriority w:val="0"/>
    <w:pPr>
      <w:ind w:left="100" w:leftChars="2500"/>
    </w:pPr>
  </w:style>
  <w:style w:type="paragraph" w:styleId="29">
    <w:name w:val="Body Text Indent 2"/>
    <w:basedOn w:val="1"/>
    <w:link w:val="91"/>
    <w:qFormat/>
    <w:uiPriority w:val="0"/>
    <w:pPr>
      <w:widowControl/>
      <w:spacing w:line="480" w:lineRule="auto"/>
      <w:ind w:firstLine="560"/>
      <w:jc w:val="left"/>
    </w:pPr>
    <w:rPr>
      <w:kern w:val="0"/>
      <w:sz w:val="28"/>
    </w:rPr>
  </w:style>
  <w:style w:type="paragraph" w:styleId="30">
    <w:name w:val="endnote text"/>
    <w:basedOn w:val="1"/>
    <w:link w:val="108"/>
    <w:qFormat/>
    <w:uiPriority w:val="0"/>
    <w:pPr>
      <w:widowControl/>
      <w:snapToGrid w:val="0"/>
      <w:jc w:val="left"/>
    </w:pPr>
    <w:rPr>
      <w:rFonts w:ascii="Arial" w:hAnsi="Arial"/>
      <w:kern w:val="0"/>
      <w:sz w:val="20"/>
      <w:lang w:eastAsia="en-US"/>
    </w:rPr>
  </w:style>
  <w:style w:type="paragraph" w:styleId="31">
    <w:name w:val="Balloon Text"/>
    <w:basedOn w:val="1"/>
    <w:link w:val="95"/>
    <w:qFormat/>
    <w:uiPriority w:val="0"/>
    <w:rPr>
      <w:sz w:val="18"/>
      <w:szCs w:val="18"/>
    </w:rPr>
  </w:style>
  <w:style w:type="paragraph" w:styleId="32">
    <w:name w:val="footer"/>
    <w:basedOn w:val="1"/>
    <w:link w:val="85"/>
    <w:qFormat/>
    <w:uiPriority w:val="99"/>
    <w:pPr>
      <w:tabs>
        <w:tab w:val="center" w:pos="4153"/>
        <w:tab w:val="right" w:pos="8306"/>
      </w:tabs>
      <w:snapToGrid w:val="0"/>
      <w:jc w:val="left"/>
    </w:pPr>
    <w:rPr>
      <w:sz w:val="18"/>
      <w:szCs w:val="18"/>
    </w:rPr>
  </w:style>
  <w:style w:type="paragraph" w:styleId="33">
    <w:name w:val="header"/>
    <w:basedOn w:val="1"/>
    <w:link w:val="102"/>
    <w:qFormat/>
    <w:uiPriority w:val="0"/>
    <w:pPr>
      <w:pBdr>
        <w:bottom w:val="single" w:color="auto" w:sz="6" w:space="1"/>
      </w:pBdr>
      <w:tabs>
        <w:tab w:val="center" w:pos="4153"/>
        <w:tab w:val="right" w:pos="8306"/>
      </w:tabs>
      <w:snapToGrid w:val="0"/>
      <w:jc w:val="center"/>
    </w:pPr>
    <w:rPr>
      <w:sz w:val="18"/>
      <w:szCs w:val="18"/>
    </w:rPr>
  </w:style>
  <w:style w:type="paragraph" w:styleId="34">
    <w:name w:val="toc 1"/>
    <w:basedOn w:val="2"/>
    <w:next w:val="1"/>
    <w:qFormat/>
    <w:uiPriority w:val="0"/>
    <w:pPr>
      <w:keepNext w:val="0"/>
      <w:keepLines w:val="0"/>
      <w:tabs>
        <w:tab w:val="right" w:leader="dot" w:pos="9117"/>
      </w:tabs>
      <w:spacing w:before="120" w:after="120" w:line="240" w:lineRule="auto"/>
      <w:jc w:val="left"/>
      <w:outlineLvl w:val="9"/>
    </w:pPr>
    <w:rPr>
      <w:caps/>
      <w:kern w:val="2"/>
      <w:sz w:val="28"/>
      <w:szCs w:val="20"/>
    </w:rPr>
  </w:style>
  <w:style w:type="paragraph" w:styleId="35">
    <w:name w:val="toc 4"/>
    <w:basedOn w:val="5"/>
    <w:next w:val="1"/>
    <w:qFormat/>
    <w:uiPriority w:val="0"/>
    <w:pPr>
      <w:widowControl w:val="0"/>
      <w:spacing w:before="0" w:beforeAutospacing="0" w:after="0" w:afterAutospacing="0"/>
      <w:ind w:left="630"/>
      <w:outlineLvl w:val="9"/>
    </w:pPr>
    <w:rPr>
      <w:rFonts w:ascii="Times New Roman" w:hAnsi="Times New Roman"/>
      <w:b w:val="0"/>
      <w:bCs w:val="0"/>
      <w:kern w:val="2"/>
      <w:sz w:val="18"/>
      <w:szCs w:val="18"/>
    </w:rPr>
  </w:style>
  <w:style w:type="paragraph" w:styleId="36">
    <w:name w:val="Subtitle"/>
    <w:basedOn w:val="1"/>
    <w:link w:val="73"/>
    <w:qFormat/>
    <w:uiPriority w:val="0"/>
    <w:pPr>
      <w:widowControl/>
      <w:jc w:val="center"/>
    </w:pPr>
    <w:rPr>
      <w:kern w:val="0"/>
      <w:sz w:val="20"/>
      <w:u w:val="single"/>
      <w:lang w:eastAsia="en-US"/>
    </w:rPr>
  </w:style>
  <w:style w:type="paragraph" w:styleId="37">
    <w:name w:val="footnote text"/>
    <w:basedOn w:val="1"/>
    <w:link w:val="69"/>
    <w:qFormat/>
    <w:uiPriority w:val="0"/>
    <w:pPr>
      <w:widowControl/>
      <w:snapToGrid w:val="0"/>
      <w:jc w:val="left"/>
    </w:pPr>
    <w:rPr>
      <w:rFonts w:ascii="Arial" w:hAnsi="Arial"/>
      <w:kern w:val="0"/>
      <w:sz w:val="18"/>
      <w:szCs w:val="18"/>
      <w:lang w:eastAsia="en-US"/>
    </w:rPr>
  </w:style>
  <w:style w:type="paragraph" w:styleId="38">
    <w:name w:val="toc 6"/>
    <w:basedOn w:val="1"/>
    <w:next w:val="1"/>
    <w:qFormat/>
    <w:uiPriority w:val="0"/>
    <w:pPr>
      <w:ind w:left="1050"/>
      <w:jc w:val="left"/>
    </w:pPr>
    <w:rPr>
      <w:sz w:val="18"/>
      <w:szCs w:val="18"/>
    </w:rPr>
  </w:style>
  <w:style w:type="paragraph" w:styleId="39">
    <w:name w:val="List 5"/>
    <w:basedOn w:val="1"/>
    <w:qFormat/>
    <w:uiPriority w:val="0"/>
    <w:pPr>
      <w:ind w:left="2100" w:hanging="420"/>
    </w:pPr>
    <w:rPr>
      <w:szCs w:val="20"/>
    </w:rPr>
  </w:style>
  <w:style w:type="paragraph" w:styleId="40">
    <w:name w:val="Body Text Indent 3"/>
    <w:basedOn w:val="1"/>
    <w:link w:val="74"/>
    <w:qFormat/>
    <w:uiPriority w:val="0"/>
    <w:pPr>
      <w:spacing w:line="360" w:lineRule="auto"/>
      <w:ind w:firstLine="280" w:firstLineChars="100"/>
    </w:pPr>
    <w:rPr>
      <w:rFonts w:ascii="宋体" w:hAnsi="宋体"/>
      <w:sz w:val="28"/>
      <w:szCs w:val="28"/>
    </w:rPr>
  </w:style>
  <w:style w:type="paragraph" w:styleId="41">
    <w:name w:val="toc 2"/>
    <w:basedOn w:val="3"/>
    <w:next w:val="1"/>
    <w:qFormat/>
    <w:uiPriority w:val="0"/>
    <w:pPr>
      <w:keepNext w:val="0"/>
      <w:keepLines w:val="0"/>
      <w:tabs>
        <w:tab w:val="right" w:leader="dot" w:pos="9117"/>
      </w:tabs>
      <w:spacing w:before="0" w:after="0" w:line="360" w:lineRule="auto"/>
      <w:ind w:left="210"/>
      <w:jc w:val="left"/>
      <w:outlineLvl w:val="9"/>
    </w:pPr>
    <w:rPr>
      <w:rFonts w:ascii="Times New Roman" w:hAnsi="Times New Roman"/>
      <w:b w:val="0"/>
      <w:bCs w:val="0"/>
      <w:smallCaps/>
      <w:sz w:val="24"/>
      <w:szCs w:val="20"/>
    </w:rPr>
  </w:style>
  <w:style w:type="paragraph" w:styleId="42">
    <w:name w:val="toc 9"/>
    <w:basedOn w:val="1"/>
    <w:next w:val="1"/>
    <w:qFormat/>
    <w:uiPriority w:val="0"/>
    <w:pPr>
      <w:ind w:left="1680"/>
      <w:jc w:val="left"/>
    </w:pPr>
    <w:rPr>
      <w:sz w:val="18"/>
      <w:szCs w:val="18"/>
    </w:rPr>
  </w:style>
  <w:style w:type="paragraph" w:styleId="43">
    <w:name w:val="Body Text 2"/>
    <w:basedOn w:val="1"/>
    <w:link w:val="84"/>
    <w:qFormat/>
    <w:uiPriority w:val="0"/>
    <w:rPr>
      <w:i/>
      <w:iCs/>
      <w:sz w:val="26"/>
    </w:rPr>
  </w:style>
  <w:style w:type="paragraph" w:styleId="44">
    <w:name w:val="HTML Preformatted"/>
    <w:basedOn w:val="1"/>
    <w:link w:val="7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4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6">
    <w:name w:val="index 1"/>
    <w:basedOn w:val="1"/>
    <w:next w:val="1"/>
    <w:qFormat/>
    <w:uiPriority w:val="0"/>
    <w:pPr>
      <w:spacing w:line="220" w:lineRule="exact"/>
      <w:jc w:val="center"/>
    </w:pPr>
    <w:rPr>
      <w:rFonts w:ascii="仿宋_GB2312" w:eastAsia="仿宋_GB2312"/>
      <w:szCs w:val="21"/>
    </w:rPr>
  </w:style>
  <w:style w:type="paragraph" w:styleId="47">
    <w:name w:val="Title"/>
    <w:basedOn w:val="1"/>
    <w:link w:val="106"/>
    <w:qFormat/>
    <w:uiPriority w:val="0"/>
    <w:pPr>
      <w:widowControl/>
      <w:jc w:val="center"/>
    </w:pPr>
    <w:rPr>
      <w:kern w:val="0"/>
      <w:sz w:val="20"/>
      <w:u w:val="single"/>
      <w:lang w:eastAsia="en-US"/>
    </w:rPr>
  </w:style>
  <w:style w:type="character" w:styleId="49">
    <w:name w:val="Strong"/>
    <w:qFormat/>
    <w:uiPriority w:val="0"/>
    <w:rPr>
      <w:b/>
      <w:bCs/>
    </w:rPr>
  </w:style>
  <w:style w:type="character" w:styleId="50">
    <w:name w:val="endnote reference"/>
    <w:qFormat/>
    <w:uiPriority w:val="0"/>
    <w:rPr>
      <w:vertAlign w:val="superscript"/>
    </w:rPr>
  </w:style>
  <w:style w:type="character" w:styleId="51">
    <w:name w:val="page number"/>
    <w:basedOn w:val="48"/>
    <w:qFormat/>
    <w:uiPriority w:val="0"/>
  </w:style>
  <w:style w:type="character" w:styleId="52">
    <w:name w:val="FollowedHyperlink"/>
    <w:qFormat/>
    <w:uiPriority w:val="0"/>
    <w:rPr>
      <w:color w:val="800080"/>
      <w:u w:val="single"/>
    </w:rPr>
  </w:style>
  <w:style w:type="character" w:styleId="53">
    <w:name w:val="Emphasis"/>
    <w:basedOn w:val="48"/>
    <w:qFormat/>
    <w:uiPriority w:val="0"/>
    <w:rPr>
      <w:color w:val="CC0000"/>
    </w:rPr>
  </w:style>
  <w:style w:type="character" w:styleId="54">
    <w:name w:val="Hyperlink"/>
    <w:qFormat/>
    <w:uiPriority w:val="0"/>
    <w:rPr>
      <w:color w:val="0000FF"/>
      <w:u w:val="single"/>
    </w:rPr>
  </w:style>
  <w:style w:type="character" w:styleId="55">
    <w:name w:val="annotation reference"/>
    <w:qFormat/>
    <w:uiPriority w:val="0"/>
    <w:rPr>
      <w:sz w:val="21"/>
      <w:szCs w:val="21"/>
    </w:rPr>
  </w:style>
  <w:style w:type="character" w:styleId="56">
    <w:name w:val="footnote reference"/>
    <w:qFormat/>
    <w:uiPriority w:val="0"/>
    <w:rPr>
      <w:vertAlign w:val="superscript"/>
    </w:rPr>
  </w:style>
  <w:style w:type="character" w:customStyle="1" w:styleId="58">
    <w:name w:val="标题 1 Char"/>
    <w:link w:val="2"/>
    <w:qFormat/>
    <w:uiPriority w:val="0"/>
    <w:rPr>
      <w:b/>
      <w:bCs/>
      <w:kern w:val="44"/>
      <w:sz w:val="44"/>
      <w:szCs w:val="44"/>
    </w:rPr>
  </w:style>
  <w:style w:type="character" w:customStyle="1" w:styleId="59">
    <w:name w:val="标题 2 Char"/>
    <w:link w:val="3"/>
    <w:qFormat/>
    <w:uiPriority w:val="0"/>
    <w:rPr>
      <w:rFonts w:ascii="Cambria" w:hAnsi="Cambria" w:eastAsia="宋体" w:cs="Times New Roman"/>
      <w:b/>
      <w:bCs/>
      <w:kern w:val="2"/>
      <w:sz w:val="32"/>
      <w:szCs w:val="32"/>
    </w:rPr>
  </w:style>
  <w:style w:type="character" w:customStyle="1" w:styleId="60">
    <w:name w:val="标题 3 Char"/>
    <w:link w:val="4"/>
    <w:qFormat/>
    <w:uiPriority w:val="0"/>
    <w:rPr>
      <w:b/>
      <w:bCs/>
      <w:kern w:val="2"/>
      <w:sz w:val="32"/>
      <w:szCs w:val="32"/>
    </w:rPr>
  </w:style>
  <w:style w:type="character" w:customStyle="1" w:styleId="61">
    <w:name w:val="标题 4 Char"/>
    <w:link w:val="5"/>
    <w:qFormat/>
    <w:uiPriority w:val="0"/>
    <w:rPr>
      <w:rFonts w:ascii="宋体" w:hAnsi="宋体" w:cs="宋体"/>
      <w:b/>
      <w:bCs/>
      <w:sz w:val="24"/>
      <w:szCs w:val="24"/>
    </w:rPr>
  </w:style>
  <w:style w:type="character" w:customStyle="1" w:styleId="62">
    <w:name w:val="标题 5 Char"/>
    <w:link w:val="6"/>
    <w:qFormat/>
    <w:uiPriority w:val="0"/>
    <w:rPr>
      <w:rFonts w:ascii="宋体" w:hAnsi="宋体" w:cs="宋体"/>
      <w:b/>
      <w:bCs/>
    </w:rPr>
  </w:style>
  <w:style w:type="character" w:customStyle="1" w:styleId="63">
    <w:name w:val="标题 6 Char"/>
    <w:link w:val="7"/>
    <w:qFormat/>
    <w:uiPriority w:val="0"/>
    <w:rPr>
      <w:rFonts w:hAnsi="Arial" w:eastAsia="仿宋_GB2312"/>
      <w:sz w:val="30"/>
    </w:rPr>
  </w:style>
  <w:style w:type="character" w:customStyle="1" w:styleId="64">
    <w:name w:val="标题 7 Char"/>
    <w:link w:val="9"/>
    <w:qFormat/>
    <w:uiPriority w:val="0"/>
    <w:rPr>
      <w:rFonts w:eastAsia="仿宋_GB2312"/>
      <w:sz w:val="30"/>
    </w:rPr>
  </w:style>
  <w:style w:type="character" w:customStyle="1" w:styleId="65">
    <w:name w:val="标题 8 Char"/>
    <w:link w:val="10"/>
    <w:qFormat/>
    <w:uiPriority w:val="0"/>
    <w:rPr>
      <w:rFonts w:hAnsi="Arial" w:eastAsia="仿宋_GB2312"/>
      <w:sz w:val="30"/>
    </w:rPr>
  </w:style>
  <w:style w:type="character" w:customStyle="1" w:styleId="66">
    <w:name w:val="标题 9 Char"/>
    <w:link w:val="11"/>
    <w:qFormat/>
    <w:uiPriority w:val="0"/>
    <w:rPr>
      <w:rFonts w:eastAsia="仿宋_GB2312"/>
      <w:sz w:val="30"/>
    </w:rPr>
  </w:style>
  <w:style w:type="character" w:customStyle="1" w:styleId="67">
    <w:name w:val="style21"/>
    <w:qFormat/>
    <w:uiPriority w:val="0"/>
    <w:rPr>
      <w:b/>
      <w:bCs/>
      <w:sz w:val="28"/>
      <w:szCs w:val="28"/>
    </w:rPr>
  </w:style>
  <w:style w:type="character" w:customStyle="1" w:styleId="68">
    <w:name w:val="intel3"/>
    <w:basedOn w:val="48"/>
    <w:qFormat/>
    <w:uiPriority w:val="0"/>
  </w:style>
  <w:style w:type="character" w:customStyle="1" w:styleId="69">
    <w:name w:val="脚注文本 Char"/>
    <w:link w:val="37"/>
    <w:qFormat/>
    <w:uiPriority w:val="0"/>
    <w:rPr>
      <w:rFonts w:ascii="Arial" w:hAnsi="Arial" w:cs="Arial"/>
      <w:sz w:val="18"/>
      <w:szCs w:val="18"/>
      <w:lang w:eastAsia="en-US"/>
    </w:rPr>
  </w:style>
  <w:style w:type="character" w:customStyle="1" w:styleId="70">
    <w:name w:val="title11"/>
    <w:qFormat/>
    <w:uiPriority w:val="0"/>
    <w:rPr>
      <w:b/>
      <w:bCs/>
      <w:color w:val="FFFFFF"/>
      <w:sz w:val="11"/>
      <w:szCs w:val="11"/>
    </w:rPr>
  </w:style>
  <w:style w:type="character" w:customStyle="1" w:styleId="71">
    <w:name w:val="myfont11"/>
    <w:qFormat/>
    <w:uiPriority w:val="0"/>
    <w:rPr>
      <w:rFonts w:hint="default" w:ascii="TYPE" w:hAnsi="TYPE"/>
      <w:color w:val="000000"/>
      <w:sz w:val="18"/>
      <w:szCs w:val="18"/>
      <w:u w:val="none"/>
    </w:rPr>
  </w:style>
  <w:style w:type="character" w:customStyle="1" w:styleId="72">
    <w:name w:val="14t1"/>
    <w:qFormat/>
    <w:uiPriority w:val="0"/>
    <w:rPr>
      <w:rFonts w:hint="eastAsia" w:ascii="宋体" w:hAnsi="宋体" w:eastAsia="宋体"/>
      <w:sz w:val="11"/>
      <w:szCs w:val="11"/>
    </w:rPr>
  </w:style>
  <w:style w:type="character" w:customStyle="1" w:styleId="73">
    <w:name w:val="副标题 Char"/>
    <w:link w:val="36"/>
    <w:qFormat/>
    <w:uiPriority w:val="0"/>
    <w:rPr>
      <w:szCs w:val="24"/>
      <w:u w:val="single"/>
      <w:lang w:eastAsia="en-US"/>
    </w:rPr>
  </w:style>
  <w:style w:type="character" w:customStyle="1" w:styleId="74">
    <w:name w:val="正文文本缩进 3 Char"/>
    <w:link w:val="40"/>
    <w:qFormat/>
    <w:uiPriority w:val="0"/>
    <w:rPr>
      <w:rFonts w:ascii="宋体" w:hAnsi="宋体"/>
      <w:kern w:val="2"/>
      <w:sz w:val="28"/>
      <w:szCs w:val="28"/>
    </w:rPr>
  </w:style>
  <w:style w:type="character" w:customStyle="1" w:styleId="75">
    <w:name w:val="正文文本 Char"/>
    <w:link w:val="20"/>
    <w:qFormat/>
    <w:uiPriority w:val="0"/>
    <w:rPr>
      <w:kern w:val="2"/>
      <w:sz w:val="21"/>
      <w:szCs w:val="24"/>
    </w:rPr>
  </w:style>
  <w:style w:type="character" w:customStyle="1" w:styleId="76">
    <w:name w:val="批注主题 Char1"/>
    <w:link w:val="13"/>
    <w:qFormat/>
    <w:uiPriority w:val="0"/>
    <w:rPr>
      <w:b/>
      <w:bCs/>
      <w:kern w:val="2"/>
      <w:sz w:val="21"/>
      <w:szCs w:val="24"/>
    </w:rPr>
  </w:style>
  <w:style w:type="character" w:customStyle="1" w:styleId="77">
    <w:name w:val="批注文字 Char"/>
    <w:link w:val="14"/>
    <w:qFormat/>
    <w:uiPriority w:val="0"/>
    <w:rPr>
      <w:kern w:val="2"/>
      <w:sz w:val="21"/>
      <w:szCs w:val="24"/>
    </w:rPr>
  </w:style>
  <w:style w:type="character" w:customStyle="1" w:styleId="78">
    <w:name w:val="正文文本 3 Char"/>
    <w:link w:val="19"/>
    <w:qFormat/>
    <w:uiPriority w:val="0"/>
    <w:rPr>
      <w:kern w:val="2"/>
      <w:sz w:val="16"/>
      <w:szCs w:val="16"/>
    </w:rPr>
  </w:style>
  <w:style w:type="character" w:customStyle="1" w:styleId="79">
    <w:name w:val="HTML 预设格式 Char"/>
    <w:link w:val="44"/>
    <w:qFormat/>
    <w:uiPriority w:val="0"/>
    <w:rPr>
      <w:rFonts w:ascii="宋体" w:hAnsi="宋体" w:cs="宋体"/>
      <w:color w:val="000000"/>
      <w:sz w:val="24"/>
      <w:szCs w:val="24"/>
    </w:rPr>
  </w:style>
  <w:style w:type="character" w:customStyle="1" w:styleId="80">
    <w:name w:val="0d1471"/>
    <w:qFormat/>
    <w:uiPriority w:val="0"/>
    <w:rPr>
      <w:color w:val="000000"/>
      <w:sz w:val="11"/>
      <w:szCs w:val="11"/>
      <w:u w:val="none"/>
    </w:rPr>
  </w:style>
  <w:style w:type="character" w:customStyle="1" w:styleId="81">
    <w:name w:val="文档结构图 Char"/>
    <w:link w:val="18"/>
    <w:qFormat/>
    <w:uiPriority w:val="0"/>
    <w:rPr>
      <w:kern w:val="2"/>
      <w:sz w:val="21"/>
      <w:szCs w:val="24"/>
      <w:shd w:val="clear" w:color="auto" w:fill="000080"/>
    </w:rPr>
  </w:style>
  <w:style w:type="character" w:customStyle="1" w:styleId="82">
    <w:name w:val="ca-41"/>
    <w:qFormat/>
    <w:uiPriority w:val="0"/>
    <w:rPr>
      <w:rFonts w:hint="eastAsia" w:ascii="宋体" w:hAnsi="宋体" w:eastAsia="宋体"/>
      <w:color w:val="FF0000"/>
      <w:sz w:val="28"/>
      <w:szCs w:val="28"/>
    </w:rPr>
  </w:style>
  <w:style w:type="character" w:customStyle="1" w:styleId="83">
    <w:name w:val="main_tdbg_7601"/>
    <w:qFormat/>
    <w:uiPriority w:val="0"/>
    <w:rPr>
      <w:sz w:val="14"/>
      <w:szCs w:val="14"/>
    </w:rPr>
  </w:style>
  <w:style w:type="character" w:customStyle="1" w:styleId="84">
    <w:name w:val="正文文本 2 Char"/>
    <w:link w:val="43"/>
    <w:qFormat/>
    <w:uiPriority w:val="0"/>
    <w:rPr>
      <w:i/>
      <w:iCs/>
      <w:kern w:val="2"/>
      <w:sz w:val="26"/>
      <w:szCs w:val="24"/>
    </w:rPr>
  </w:style>
  <w:style w:type="character" w:customStyle="1" w:styleId="85">
    <w:name w:val="页脚 Char"/>
    <w:link w:val="32"/>
    <w:qFormat/>
    <w:uiPriority w:val="99"/>
    <w:rPr>
      <w:kern w:val="2"/>
      <w:sz w:val="18"/>
      <w:szCs w:val="18"/>
    </w:rPr>
  </w:style>
  <w:style w:type="character" w:customStyle="1" w:styleId="86">
    <w:name w:val="link1"/>
    <w:qFormat/>
    <w:uiPriority w:val="0"/>
    <w:rPr>
      <w:sz w:val="18"/>
      <w:szCs w:val="18"/>
    </w:rPr>
  </w:style>
  <w:style w:type="character" w:customStyle="1" w:styleId="87">
    <w:name w:val="unnamed1"/>
    <w:basedOn w:val="48"/>
    <w:qFormat/>
    <w:uiPriority w:val="0"/>
  </w:style>
  <w:style w:type="character" w:customStyle="1" w:styleId="88">
    <w:name w:val="l1"/>
    <w:basedOn w:val="48"/>
    <w:qFormat/>
    <w:uiPriority w:val="0"/>
  </w:style>
  <w:style w:type="character" w:customStyle="1" w:styleId="89">
    <w:name w:val="docpro"/>
    <w:basedOn w:val="48"/>
    <w:qFormat/>
    <w:uiPriority w:val="0"/>
  </w:style>
  <w:style w:type="character" w:customStyle="1" w:styleId="90">
    <w:name w:val="luoyong"/>
    <w:qFormat/>
    <w:uiPriority w:val="0"/>
    <w:rPr>
      <w:rFonts w:ascii="Arial" w:hAnsi="Arial" w:eastAsia="宋体" w:cs="Arial"/>
      <w:color w:val="000080"/>
      <w:sz w:val="18"/>
      <w:szCs w:val="20"/>
    </w:rPr>
  </w:style>
  <w:style w:type="character" w:customStyle="1" w:styleId="91">
    <w:name w:val="正文文本缩进 2 Char"/>
    <w:link w:val="29"/>
    <w:qFormat/>
    <w:uiPriority w:val="0"/>
    <w:rPr>
      <w:sz w:val="28"/>
      <w:szCs w:val="24"/>
    </w:rPr>
  </w:style>
  <w:style w:type="character" w:customStyle="1" w:styleId="92">
    <w:name w:val="日期 Char"/>
    <w:link w:val="28"/>
    <w:qFormat/>
    <w:uiPriority w:val="0"/>
    <w:rPr>
      <w:kern w:val="2"/>
      <w:sz w:val="21"/>
      <w:szCs w:val="24"/>
    </w:rPr>
  </w:style>
  <w:style w:type="character" w:customStyle="1" w:styleId="93">
    <w:name w:val="ss16"/>
    <w:qFormat/>
    <w:uiPriority w:val="0"/>
    <w:rPr>
      <w:rFonts w:hint="eastAsia" w:ascii="宋体" w:hAnsi="宋体" w:eastAsia="宋体"/>
      <w:color w:val="000000"/>
      <w:sz w:val="9"/>
      <w:szCs w:val="9"/>
    </w:rPr>
  </w:style>
  <w:style w:type="character" w:customStyle="1" w:styleId="94">
    <w:name w:val="ht1"/>
    <w:qFormat/>
    <w:uiPriority w:val="0"/>
    <w:rPr>
      <w:rFonts w:ascii="黑体" w:eastAsia="黑体"/>
      <w:b/>
      <w:bCs/>
    </w:rPr>
  </w:style>
  <w:style w:type="character" w:customStyle="1" w:styleId="95">
    <w:name w:val="批注框文本 Char"/>
    <w:link w:val="31"/>
    <w:qFormat/>
    <w:uiPriority w:val="0"/>
    <w:rPr>
      <w:kern w:val="2"/>
      <w:sz w:val="18"/>
      <w:szCs w:val="18"/>
    </w:rPr>
  </w:style>
  <w:style w:type="character" w:customStyle="1" w:styleId="96">
    <w:name w:val="style121"/>
    <w:qFormat/>
    <w:uiPriority w:val="0"/>
    <w:rPr>
      <w:rFonts w:hint="eastAsia" w:ascii="宋体" w:hAnsi="宋体" w:eastAsia="宋体"/>
      <w:sz w:val="18"/>
      <w:szCs w:val="18"/>
    </w:rPr>
  </w:style>
  <w:style w:type="character" w:customStyle="1" w:styleId="97">
    <w:name w:val="正文文本缩进 Char"/>
    <w:link w:val="21"/>
    <w:qFormat/>
    <w:uiPriority w:val="0"/>
    <w:rPr>
      <w:kern w:val="2"/>
      <w:sz w:val="21"/>
      <w:szCs w:val="24"/>
    </w:rPr>
  </w:style>
  <w:style w:type="character" w:customStyle="1" w:styleId="98">
    <w:name w:val="color_red1"/>
    <w:qFormat/>
    <w:uiPriority w:val="0"/>
    <w:rPr>
      <w:color w:val="FA0004"/>
    </w:rPr>
  </w:style>
  <w:style w:type="character" w:customStyle="1" w:styleId="99">
    <w:name w:val="ca-141"/>
    <w:qFormat/>
    <w:uiPriority w:val="0"/>
    <w:rPr>
      <w:rFonts w:hint="eastAsia" w:ascii="仿宋_GB2312" w:eastAsia="仿宋_GB2312"/>
      <w:sz w:val="21"/>
      <w:szCs w:val="21"/>
    </w:rPr>
  </w:style>
  <w:style w:type="character" w:customStyle="1" w:styleId="100">
    <w:name w:val="Char Char11"/>
    <w:qFormat/>
    <w:uiPriority w:val="0"/>
    <w:rPr>
      <w:rFonts w:eastAsia="黑体"/>
      <w:kern w:val="2"/>
      <w:sz w:val="44"/>
      <w:szCs w:val="44"/>
      <w:lang w:val="en-US" w:eastAsia="zh-CN" w:bidi="ar-SA"/>
    </w:rPr>
  </w:style>
  <w:style w:type="character" w:customStyle="1" w:styleId="101">
    <w:name w:val="纯文本 Char"/>
    <w:link w:val="26"/>
    <w:qFormat/>
    <w:uiPriority w:val="0"/>
    <w:rPr>
      <w:rFonts w:ascii="宋体" w:hAnsi="Courier New" w:cs="Courier New"/>
      <w:kern w:val="2"/>
      <w:sz w:val="21"/>
      <w:szCs w:val="21"/>
    </w:rPr>
  </w:style>
  <w:style w:type="character" w:customStyle="1" w:styleId="102">
    <w:name w:val="页眉 Char"/>
    <w:link w:val="33"/>
    <w:qFormat/>
    <w:uiPriority w:val="0"/>
    <w:rPr>
      <w:kern w:val="2"/>
      <w:sz w:val="18"/>
      <w:szCs w:val="18"/>
    </w:rPr>
  </w:style>
  <w:style w:type="character" w:customStyle="1" w:styleId="103">
    <w:name w:val="style31"/>
    <w:qFormat/>
    <w:uiPriority w:val="0"/>
    <w:rPr>
      <w:sz w:val="10"/>
      <w:szCs w:val="10"/>
    </w:rPr>
  </w:style>
  <w:style w:type="character" w:customStyle="1" w:styleId="104">
    <w:name w:val="style161"/>
    <w:qFormat/>
    <w:uiPriority w:val="0"/>
    <w:rPr>
      <w:b/>
      <w:bCs/>
      <w:color w:val="333333"/>
    </w:rPr>
  </w:style>
  <w:style w:type="character" w:customStyle="1" w:styleId="105">
    <w:name w:val="normaltext1"/>
    <w:qFormat/>
    <w:uiPriority w:val="0"/>
    <w:rPr>
      <w:rFonts w:hint="default" w:ascii="ˎ̥" w:hAnsi="ˎ̥"/>
      <w:sz w:val="9"/>
      <w:szCs w:val="9"/>
    </w:rPr>
  </w:style>
  <w:style w:type="character" w:customStyle="1" w:styleId="106">
    <w:name w:val="标题 Char"/>
    <w:link w:val="47"/>
    <w:qFormat/>
    <w:uiPriority w:val="0"/>
    <w:rPr>
      <w:szCs w:val="24"/>
      <w:u w:val="single"/>
      <w:lang w:eastAsia="en-US"/>
    </w:rPr>
  </w:style>
  <w:style w:type="character" w:customStyle="1" w:styleId="107">
    <w:name w:val="批注主题 Char"/>
    <w:qFormat/>
    <w:uiPriority w:val="0"/>
    <w:rPr>
      <w:rFonts w:ascii="宋体" w:hAnsi="宋体"/>
      <w:kern w:val="2"/>
      <w:sz w:val="24"/>
      <w:szCs w:val="28"/>
    </w:rPr>
  </w:style>
  <w:style w:type="character" w:customStyle="1" w:styleId="108">
    <w:name w:val="尾注文本 Char"/>
    <w:link w:val="30"/>
    <w:qFormat/>
    <w:uiPriority w:val="0"/>
    <w:rPr>
      <w:rFonts w:ascii="Arial" w:hAnsi="Arial" w:cs="Arial"/>
      <w:szCs w:val="24"/>
      <w:lang w:eastAsia="en-US"/>
    </w:rPr>
  </w:style>
  <w:style w:type="character" w:customStyle="1" w:styleId="109">
    <w:name w:val="font161"/>
    <w:qFormat/>
    <w:uiPriority w:val="0"/>
    <w:rPr>
      <w:b/>
      <w:bCs/>
      <w:sz w:val="32"/>
      <w:szCs w:val="32"/>
    </w:rPr>
  </w:style>
  <w:style w:type="paragraph" w:customStyle="1" w:styleId="110">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1">
    <w:name w:val="xl12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2">
    <w:name w:val="赵国俊表栏"/>
    <w:basedOn w:val="1"/>
    <w:next w:val="1"/>
    <w:qFormat/>
    <w:uiPriority w:val="0"/>
    <w:pPr>
      <w:jc w:val="center"/>
    </w:pPr>
    <w:rPr>
      <w:rFonts w:ascii="黑体" w:eastAsia="黑体"/>
      <w:b/>
      <w:sz w:val="28"/>
      <w:szCs w:val="20"/>
    </w:rPr>
  </w:style>
  <w:style w:type="paragraph" w:customStyle="1" w:styleId="113">
    <w:name w:val="1"/>
    <w:basedOn w:val="1"/>
    <w:qFormat/>
    <w:uiPriority w:val="0"/>
    <w:pPr>
      <w:widowControl/>
      <w:spacing w:before="100" w:beforeAutospacing="1" w:after="100" w:afterAutospacing="1"/>
      <w:jc w:val="left"/>
    </w:pPr>
    <w:rPr>
      <w:rFonts w:ascii="ˎ̥" w:hAnsi="ˎ̥" w:cs="宋体"/>
      <w:kern w:val="0"/>
      <w:sz w:val="24"/>
    </w:rPr>
  </w:style>
  <w:style w:type="paragraph" w:customStyle="1" w:styleId="114">
    <w:name w:val="style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5">
    <w:name w:val="xl1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17">
    <w:name w:val="自定样式1"/>
    <w:basedOn w:val="1"/>
    <w:qFormat/>
    <w:uiPriority w:val="0"/>
    <w:pPr>
      <w:suppressAutoHyphens/>
      <w:jc w:val="center"/>
    </w:pPr>
    <w:rPr>
      <w:rFonts w:ascii="宋体" w:hAnsi="宋体"/>
      <w:color w:val="000000"/>
      <w:sz w:val="18"/>
    </w:rPr>
  </w:style>
  <w:style w:type="paragraph" w:customStyle="1" w:styleId="118">
    <w:name w:val="xl13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9">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20">
    <w:name w:val="表格标题"/>
    <w:basedOn w:val="121"/>
    <w:qFormat/>
    <w:uiPriority w:val="0"/>
  </w:style>
  <w:style w:type="paragraph" w:customStyle="1" w:styleId="121">
    <w:name w:val="表格内容"/>
    <w:basedOn w:val="1"/>
    <w:qFormat/>
    <w:uiPriority w:val="0"/>
    <w:pPr>
      <w:suppressLineNumbers/>
      <w:suppressAutoHyphens/>
    </w:pPr>
  </w:style>
  <w:style w:type="paragraph" w:customStyle="1" w:styleId="122">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123">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24">
    <w:name w:val="Char Char"/>
    <w:next w:val="1"/>
    <w:qFormat/>
    <w:uiPriority w:val="0"/>
    <w:pPr>
      <w:keepNext/>
      <w:keepLines/>
      <w:spacing w:before="240" w:after="240"/>
      <w:ind w:left="624" w:hanging="624"/>
      <w:outlineLvl w:val="7"/>
    </w:pPr>
    <w:rPr>
      <w:rFonts w:ascii="Arial" w:hAnsi="Arial" w:eastAsia="黑体" w:cs="Arial"/>
      <w:snapToGrid w:val="0"/>
      <w:sz w:val="21"/>
      <w:szCs w:val="21"/>
      <w:lang w:val="en-US" w:eastAsia="zh-CN" w:bidi="ar-SA"/>
    </w:rPr>
  </w:style>
  <w:style w:type="paragraph" w:customStyle="1" w:styleId="125">
    <w:name w:val="Char Char12"/>
    <w:next w:val="1"/>
    <w:qFormat/>
    <w:uiPriority w:val="0"/>
    <w:pPr>
      <w:keepNext/>
      <w:keepLines/>
      <w:snapToGrid w:val="0"/>
      <w:spacing w:before="240" w:after="240"/>
      <w:ind w:left="624" w:hanging="624"/>
      <w:outlineLvl w:val="7"/>
    </w:pPr>
    <w:rPr>
      <w:rFonts w:ascii="Arial" w:hAnsi="Arial" w:eastAsia="黑体" w:cs="Arial"/>
      <w:sz w:val="21"/>
      <w:szCs w:val="21"/>
      <w:lang w:val="en-US" w:eastAsia="zh-CN" w:bidi="ar-SA"/>
    </w:rPr>
  </w:style>
  <w:style w:type="paragraph" w:customStyle="1" w:styleId="126">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cs="宋体"/>
      <w:kern w:val="0"/>
      <w:sz w:val="18"/>
      <w:szCs w:val="18"/>
    </w:rPr>
  </w:style>
  <w:style w:type="paragraph" w:customStyle="1" w:styleId="127">
    <w:name w:val="xl12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18"/>
      <w:szCs w:val="18"/>
    </w:rPr>
  </w:style>
  <w:style w:type="paragraph" w:customStyle="1" w:styleId="128">
    <w:name w:val="font14"/>
    <w:basedOn w:val="1"/>
    <w:qFormat/>
    <w:uiPriority w:val="0"/>
    <w:pPr>
      <w:widowControl/>
      <w:spacing w:before="100" w:beforeAutospacing="1" w:after="100" w:afterAutospacing="1"/>
      <w:jc w:val="left"/>
    </w:pPr>
    <w:rPr>
      <w:rFonts w:hint="eastAsia" w:ascii="宋体" w:hAnsi="宋体"/>
      <w:color w:val="FF0000"/>
      <w:kern w:val="0"/>
      <w:sz w:val="20"/>
      <w:szCs w:val="20"/>
    </w:rPr>
  </w:style>
  <w:style w:type="paragraph" w:customStyle="1" w:styleId="129">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3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13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2">
    <w:name w:val="xl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133">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134">
    <w:name w:val="ly"/>
    <w:basedOn w:val="1"/>
    <w:qFormat/>
    <w:uiPriority w:val="0"/>
    <w:pPr>
      <w:widowControl/>
      <w:spacing w:before="30"/>
      <w:jc w:val="right"/>
    </w:pPr>
    <w:rPr>
      <w:rFonts w:ascii="方正书宋简体" w:hAnsi="宋体" w:eastAsia="方正书宋简体"/>
      <w:color w:val="000000"/>
      <w:kern w:val="0"/>
      <w:szCs w:val="21"/>
    </w:rPr>
  </w:style>
  <w:style w:type="paragraph" w:customStyle="1" w:styleId="135">
    <w:name w:val="xl107"/>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36">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37">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138">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139">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4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41">
    <w:name w:val="xl101"/>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4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43">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44">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45">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kern w:val="0"/>
      <w:sz w:val="20"/>
      <w:szCs w:val="20"/>
    </w:rPr>
  </w:style>
  <w:style w:type="paragraph" w:customStyle="1" w:styleId="146">
    <w:name w:val="xl121"/>
    <w:basedOn w:val="1"/>
    <w:qFormat/>
    <w:uiPriority w:val="0"/>
    <w:pPr>
      <w:widowControl/>
      <w:spacing w:before="100" w:beforeAutospacing="1" w:after="100" w:afterAutospacing="1"/>
      <w:jc w:val="center"/>
    </w:pPr>
    <w:rPr>
      <w:rFonts w:ascii="宋体" w:hAnsi="宋体" w:cs="宋体"/>
      <w:b/>
      <w:bCs/>
      <w:kern w:val="0"/>
      <w:sz w:val="32"/>
      <w:szCs w:val="32"/>
    </w:rPr>
  </w:style>
  <w:style w:type="paragraph" w:customStyle="1" w:styleId="147">
    <w:name w:val="xl50"/>
    <w:basedOn w:val="1"/>
    <w:qFormat/>
    <w:uiPriority w:val="0"/>
    <w:pPr>
      <w:widowControl/>
      <w:pBdr>
        <w:top w:val="single" w:color="auto" w:sz="4" w:space="0"/>
      </w:pBdr>
      <w:spacing w:before="100" w:beforeAutospacing="1" w:after="100" w:afterAutospacing="1"/>
      <w:jc w:val="left"/>
    </w:pPr>
    <w:rPr>
      <w:rFonts w:hint="eastAsia" w:ascii="仿宋_GB2312" w:hAnsi="宋体" w:eastAsia="仿宋_GB2312"/>
      <w:kern w:val="0"/>
      <w:sz w:val="20"/>
      <w:szCs w:val="20"/>
    </w:rPr>
  </w:style>
  <w:style w:type="paragraph" w:customStyle="1" w:styleId="148">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49">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0">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51">
    <w:name w:val="blockquote"/>
    <w:basedOn w:val="1"/>
    <w:qFormat/>
    <w:uiPriority w:val="0"/>
    <w:pPr>
      <w:widowControl/>
      <w:autoSpaceDE w:val="0"/>
      <w:autoSpaceDN w:val="0"/>
      <w:spacing w:before="100" w:after="100"/>
      <w:ind w:left="360" w:right="360"/>
      <w:jc w:val="left"/>
    </w:pPr>
    <w:rPr>
      <w:kern w:val="0"/>
      <w:sz w:val="24"/>
    </w:rPr>
  </w:style>
  <w:style w:type="paragraph" w:customStyle="1" w:styleId="152">
    <w:name w:val="font9"/>
    <w:basedOn w:val="1"/>
    <w:qFormat/>
    <w:uiPriority w:val="0"/>
    <w:pPr>
      <w:widowControl/>
      <w:spacing w:before="100" w:beforeAutospacing="1" w:after="100" w:afterAutospacing="1"/>
      <w:jc w:val="left"/>
    </w:pPr>
    <w:rPr>
      <w:kern w:val="0"/>
      <w:sz w:val="20"/>
      <w:szCs w:val="20"/>
    </w:rPr>
  </w:style>
  <w:style w:type="paragraph" w:customStyle="1" w:styleId="153">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4">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55">
    <w:name w:val="xl49"/>
    <w:basedOn w:val="1"/>
    <w:qFormat/>
    <w:uiPriority w:val="0"/>
    <w:pPr>
      <w:widowControl/>
      <w:pBdr>
        <w:top w:val="single" w:color="auto" w:sz="4" w:space="0"/>
        <w:left w:val="single" w:color="auto" w:sz="4" w:space="0"/>
      </w:pBdr>
      <w:spacing w:before="100" w:beforeAutospacing="1" w:after="100" w:afterAutospacing="1"/>
      <w:jc w:val="left"/>
      <w:textAlignment w:val="top"/>
    </w:pPr>
    <w:rPr>
      <w:rFonts w:hint="eastAsia" w:ascii="仿宋_GB2312" w:hAnsi="宋体" w:eastAsia="仿宋_GB2312"/>
      <w:b/>
      <w:bCs/>
      <w:kern w:val="0"/>
      <w:sz w:val="20"/>
      <w:szCs w:val="20"/>
    </w:rPr>
  </w:style>
  <w:style w:type="paragraph" w:customStyle="1" w:styleId="156">
    <w:name w:val="xl10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57">
    <w:name w:val="xl44"/>
    <w:basedOn w:val="1"/>
    <w:qFormat/>
    <w:uiPriority w:val="0"/>
    <w:pPr>
      <w:widowControl/>
      <w:pBdr>
        <w:right w:val="single" w:color="auto" w:sz="4" w:space="0"/>
      </w:pBdr>
      <w:spacing w:before="100" w:beforeAutospacing="1" w:after="100" w:afterAutospacing="1"/>
      <w:jc w:val="left"/>
      <w:textAlignment w:val="center"/>
    </w:pPr>
    <w:rPr>
      <w:rFonts w:hint="eastAsia" w:ascii="仿宋_GB2312" w:hAnsi="宋体" w:eastAsia="仿宋_GB2312"/>
      <w:kern w:val="0"/>
      <w:sz w:val="20"/>
      <w:szCs w:val="20"/>
    </w:rPr>
  </w:style>
  <w:style w:type="paragraph" w:customStyle="1" w:styleId="158">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5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60">
    <w:name w:val="font8"/>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161">
    <w:name w:val="xl13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2">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6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64">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66">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67">
    <w:name w:val="xl110"/>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69">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71">
    <w:name w:val="xl14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2">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4">
    <w:name w:val="font15"/>
    <w:basedOn w:val="1"/>
    <w:qFormat/>
    <w:uiPriority w:val="0"/>
    <w:pPr>
      <w:widowControl/>
      <w:spacing w:before="100" w:beforeAutospacing="1" w:after="100" w:afterAutospacing="1"/>
      <w:jc w:val="left"/>
    </w:pPr>
    <w:rPr>
      <w:color w:val="FF0000"/>
      <w:kern w:val="0"/>
      <w:sz w:val="20"/>
      <w:szCs w:val="20"/>
    </w:rPr>
  </w:style>
  <w:style w:type="paragraph" w:customStyle="1" w:styleId="175">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6">
    <w:name w:val="xl4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color w:val="FF0000"/>
      <w:kern w:val="0"/>
      <w:sz w:val="20"/>
      <w:szCs w:val="20"/>
    </w:rPr>
  </w:style>
  <w:style w:type="paragraph" w:customStyle="1" w:styleId="177">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8">
    <w:name w:val="Char Char Char Char Char Char Char Char Char Char Char Char"/>
    <w:basedOn w:val="1"/>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7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0">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181">
    <w:name w:val="xl9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82">
    <w:name w:val="xl13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3">
    <w:name w:val="font12"/>
    <w:basedOn w:val="1"/>
    <w:qFormat/>
    <w:uiPriority w:val="0"/>
    <w:pPr>
      <w:widowControl/>
      <w:spacing w:before="100" w:beforeAutospacing="1" w:after="100" w:afterAutospacing="1"/>
      <w:jc w:val="left"/>
    </w:pPr>
    <w:rPr>
      <w:kern w:val="0"/>
      <w:sz w:val="20"/>
      <w:szCs w:val="20"/>
    </w:rPr>
  </w:style>
  <w:style w:type="paragraph" w:customStyle="1" w:styleId="184">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5">
    <w:name w:val="xl12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6">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7">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188">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9">
    <w:name w:val="xl108"/>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90">
    <w:name w:val="样式5"/>
    <w:basedOn w:val="1"/>
    <w:qFormat/>
    <w:uiPriority w:val="0"/>
    <w:rPr>
      <w:rFonts w:ascii="宋体"/>
      <w:sz w:val="24"/>
      <w:szCs w:val="20"/>
    </w:rPr>
  </w:style>
  <w:style w:type="paragraph" w:customStyle="1" w:styleId="191">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8"/>
      <w:szCs w:val="18"/>
    </w:rPr>
  </w:style>
  <w:style w:type="paragraph" w:customStyle="1" w:styleId="192">
    <w:name w:val="pa-27"/>
    <w:basedOn w:val="1"/>
    <w:qFormat/>
    <w:uiPriority w:val="0"/>
    <w:pPr>
      <w:widowControl/>
      <w:spacing w:line="360" w:lineRule="atLeast"/>
      <w:ind w:firstLine="420"/>
    </w:pPr>
    <w:rPr>
      <w:rFonts w:ascii="宋体" w:hAnsi="宋体" w:cs="宋体"/>
      <w:kern w:val="0"/>
      <w:sz w:val="24"/>
    </w:rPr>
  </w:style>
  <w:style w:type="paragraph" w:customStyle="1" w:styleId="193">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94">
    <w:name w:val="font10"/>
    <w:basedOn w:val="1"/>
    <w:qFormat/>
    <w:uiPriority w:val="0"/>
    <w:pPr>
      <w:widowControl/>
      <w:spacing w:before="100" w:beforeAutospacing="1" w:after="100" w:afterAutospacing="1"/>
      <w:jc w:val="left"/>
    </w:pPr>
    <w:rPr>
      <w:rFonts w:hint="eastAsia" w:ascii="仿宋_GB2312" w:hAnsi="宋体" w:eastAsia="仿宋_GB2312"/>
      <w:b/>
      <w:bCs/>
      <w:kern w:val="0"/>
      <w:sz w:val="20"/>
      <w:szCs w:val="20"/>
    </w:rPr>
  </w:style>
  <w:style w:type="paragraph" w:customStyle="1" w:styleId="19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9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97">
    <w:name w:val="xl13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98">
    <w:name w:val="zjl正文"/>
    <w:basedOn w:val="1"/>
    <w:qFormat/>
    <w:uiPriority w:val="0"/>
    <w:pPr>
      <w:spacing w:line="360" w:lineRule="auto"/>
      <w:ind w:right="210"/>
    </w:pPr>
    <w:rPr>
      <w:rFonts w:ascii="宋体" w:hAnsi="宋体"/>
      <w:b/>
      <w:szCs w:val="21"/>
    </w:rPr>
  </w:style>
  <w:style w:type="paragraph" w:customStyle="1" w:styleId="199">
    <w:name w:val="xl5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0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2"/>
      <w:szCs w:val="22"/>
    </w:rPr>
  </w:style>
  <w:style w:type="paragraph" w:customStyle="1" w:styleId="201">
    <w:name w:val="rr"/>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202">
    <w:name w:val="font11"/>
    <w:basedOn w:val="1"/>
    <w:qFormat/>
    <w:uiPriority w:val="0"/>
    <w:pPr>
      <w:widowControl/>
      <w:spacing w:before="100" w:beforeAutospacing="1" w:after="100" w:afterAutospacing="1"/>
      <w:jc w:val="left"/>
    </w:pPr>
    <w:rPr>
      <w:b/>
      <w:bCs/>
      <w:kern w:val="0"/>
      <w:sz w:val="20"/>
      <w:szCs w:val="20"/>
    </w:rPr>
  </w:style>
  <w:style w:type="paragraph" w:customStyle="1" w:styleId="20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04">
    <w:name w:val="修订1"/>
    <w:qFormat/>
    <w:uiPriority w:val="0"/>
    <w:rPr>
      <w:rFonts w:ascii="Times New Roman" w:hAnsi="Times New Roman" w:eastAsia="宋体" w:cs="Times New Roman"/>
      <w:kern w:val="2"/>
      <w:sz w:val="21"/>
      <w:szCs w:val="24"/>
      <w:lang w:val="en-US" w:eastAsia="zh-CN" w:bidi="ar-SA"/>
    </w:rPr>
  </w:style>
  <w:style w:type="paragraph" w:customStyle="1" w:styleId="20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06">
    <w:name w:val="表格文字"/>
    <w:basedOn w:val="1"/>
    <w:qFormat/>
    <w:uiPriority w:val="0"/>
    <w:pPr>
      <w:adjustRightInd w:val="0"/>
      <w:spacing w:line="420" w:lineRule="atLeast"/>
      <w:jc w:val="left"/>
      <w:textAlignment w:val="baseline"/>
    </w:pPr>
    <w:rPr>
      <w:kern w:val="0"/>
      <w:szCs w:val="20"/>
    </w:rPr>
  </w:style>
  <w:style w:type="paragraph" w:customStyle="1" w:styleId="207">
    <w:name w:val="a"/>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208">
    <w:name w:val="WW-表格内容"/>
    <w:basedOn w:val="1"/>
    <w:qFormat/>
    <w:uiPriority w:val="0"/>
    <w:pPr>
      <w:suppressLineNumbers/>
      <w:suppressAutoHyphens/>
    </w:pPr>
  </w:style>
  <w:style w:type="paragraph" w:customStyle="1" w:styleId="209">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1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kern w:val="0"/>
      <w:sz w:val="20"/>
      <w:szCs w:val="20"/>
    </w:rPr>
  </w:style>
  <w:style w:type="paragraph" w:customStyle="1" w:styleId="211">
    <w:name w:val="Char"/>
    <w:basedOn w:val="1"/>
    <w:qFormat/>
    <w:uiPriority w:val="0"/>
    <w:pPr>
      <w:tabs>
        <w:tab w:val="left" w:pos="360"/>
      </w:tabs>
    </w:pPr>
    <w:rPr>
      <w:sz w:val="24"/>
    </w:rPr>
  </w:style>
  <w:style w:type="paragraph" w:customStyle="1" w:styleId="21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13">
    <w:name w:val="xl13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4">
    <w:name w:val="xl14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5">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216">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color w:val="FF0000"/>
      <w:kern w:val="0"/>
      <w:sz w:val="18"/>
      <w:szCs w:val="18"/>
    </w:rPr>
  </w:style>
  <w:style w:type="paragraph" w:customStyle="1" w:styleId="217">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218">
    <w:name w:val="xl11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9">
    <w:name w:val="xl63"/>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20">
    <w:name w:val="Char1"/>
    <w:basedOn w:val="1"/>
    <w:qFormat/>
    <w:uiPriority w:val="0"/>
    <w:pPr>
      <w:tabs>
        <w:tab w:val="left" w:pos="360"/>
      </w:tabs>
    </w:pPr>
    <w:rPr>
      <w:sz w:val="24"/>
    </w:rPr>
  </w:style>
  <w:style w:type="paragraph" w:customStyle="1" w:styleId="221">
    <w:name w:val="xl51"/>
    <w:basedOn w:val="1"/>
    <w:qFormat/>
    <w:uiPriority w:val="0"/>
    <w:pPr>
      <w:widowControl/>
      <w:pBdr>
        <w:top w:val="single" w:color="auto" w:sz="4" w:space="0"/>
        <w:right w:val="single" w:color="auto" w:sz="4" w:space="0"/>
      </w:pBdr>
      <w:spacing w:before="100" w:beforeAutospacing="1" w:after="100" w:afterAutospacing="1"/>
      <w:jc w:val="left"/>
    </w:pPr>
    <w:rPr>
      <w:rFonts w:hint="eastAsia" w:ascii="仿宋_GB2312" w:hAnsi="宋体" w:eastAsia="仿宋_GB2312"/>
      <w:kern w:val="0"/>
      <w:sz w:val="20"/>
      <w:szCs w:val="20"/>
    </w:rPr>
  </w:style>
  <w:style w:type="paragraph" w:customStyle="1" w:styleId="222">
    <w:name w:val="xl30"/>
    <w:basedOn w:val="1"/>
    <w:qFormat/>
    <w:uiPriority w:val="0"/>
    <w:pPr>
      <w:widowControl/>
      <w:spacing w:before="100" w:beforeAutospacing="1" w:after="100" w:afterAutospacing="1"/>
      <w:jc w:val="left"/>
      <w:textAlignment w:val="center"/>
    </w:pPr>
    <w:rPr>
      <w:rFonts w:ascii="宋体" w:hAnsi="宋体"/>
      <w:kern w:val="0"/>
      <w:sz w:val="20"/>
      <w:szCs w:val="20"/>
    </w:rPr>
  </w:style>
  <w:style w:type="paragraph" w:customStyle="1" w:styleId="223">
    <w:name w:val="正文1"/>
    <w:basedOn w:val="1"/>
    <w:qFormat/>
    <w:uiPriority w:val="0"/>
    <w:pPr>
      <w:adjustRightInd w:val="0"/>
      <w:spacing w:line="240" w:lineRule="atLeast"/>
      <w:jc w:val="center"/>
      <w:textAlignment w:val="baseline"/>
    </w:pPr>
    <w:rPr>
      <w:rFonts w:eastAsia="仿宋_GB2312"/>
      <w:kern w:val="0"/>
      <w:sz w:val="24"/>
      <w:szCs w:val="20"/>
    </w:rPr>
  </w:style>
  <w:style w:type="paragraph" w:customStyle="1" w:styleId="22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6">
    <w:name w:val="font13"/>
    <w:basedOn w:val="1"/>
    <w:qFormat/>
    <w:uiPriority w:val="0"/>
    <w:pPr>
      <w:widowControl/>
      <w:spacing w:before="100" w:beforeAutospacing="1" w:after="100" w:afterAutospacing="1"/>
      <w:jc w:val="left"/>
    </w:pPr>
    <w:rPr>
      <w:b/>
      <w:bCs/>
      <w:kern w:val="0"/>
      <w:sz w:val="32"/>
      <w:szCs w:val="32"/>
    </w:rPr>
  </w:style>
  <w:style w:type="paragraph" w:customStyle="1" w:styleId="227">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28">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229">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230">
    <w:name w:val="WW-表格标题"/>
    <w:basedOn w:val="208"/>
    <w:qFormat/>
    <w:uiPriority w:val="0"/>
  </w:style>
  <w:style w:type="paragraph" w:customStyle="1" w:styleId="231">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232">
    <w:name w:val="font6"/>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233">
    <w:name w:val="xl1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3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5">
    <w:name w:val="xl22"/>
    <w:basedOn w:val="1"/>
    <w:qFormat/>
    <w:uiPriority w:val="0"/>
    <w:pPr>
      <w:widowControl/>
      <w:spacing w:before="100" w:beforeAutospacing="1" w:after="100" w:afterAutospacing="1"/>
      <w:jc w:val="center"/>
    </w:pPr>
    <w:rPr>
      <w:rFonts w:ascii="宋体" w:hAnsi="宋体"/>
      <w:kern w:val="0"/>
      <w:sz w:val="24"/>
    </w:rPr>
  </w:style>
  <w:style w:type="paragraph" w:customStyle="1" w:styleId="236">
    <w:name w:val="intel1"/>
    <w:basedOn w:val="1"/>
    <w:qFormat/>
    <w:uiPriority w:val="0"/>
    <w:pPr>
      <w:widowControl/>
      <w:spacing w:before="100" w:beforeAutospacing="1" w:after="100" w:afterAutospacing="1"/>
      <w:jc w:val="left"/>
    </w:pPr>
    <w:rPr>
      <w:rFonts w:ascii="宋体" w:hAnsi="宋体" w:cs="宋体"/>
      <w:kern w:val="0"/>
      <w:sz w:val="24"/>
    </w:rPr>
  </w:style>
  <w:style w:type="paragraph" w:customStyle="1" w:styleId="237">
    <w:name w:val="font7"/>
    <w:basedOn w:val="1"/>
    <w:qFormat/>
    <w:uiPriority w:val="0"/>
    <w:pPr>
      <w:widowControl/>
      <w:spacing w:before="100" w:beforeAutospacing="1" w:after="100" w:afterAutospacing="1"/>
      <w:jc w:val="left"/>
    </w:pPr>
    <w:rPr>
      <w:kern w:val="0"/>
      <w:sz w:val="22"/>
      <w:szCs w:val="22"/>
    </w:rPr>
  </w:style>
  <w:style w:type="paragraph" w:customStyle="1" w:styleId="238">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9">
    <w:name w:val="列出段落1"/>
    <w:basedOn w:val="1"/>
    <w:qFormat/>
    <w:uiPriority w:val="0"/>
    <w:pPr>
      <w:ind w:firstLine="420" w:firstLineChars="200"/>
    </w:pPr>
    <w:rPr>
      <w:sz w:val="28"/>
      <w:szCs w:val="28"/>
    </w:rPr>
  </w:style>
  <w:style w:type="paragraph" w:customStyle="1" w:styleId="240">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24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2">
    <w:name w:val="xl2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43">
    <w:name w:val="样式 标题 3 + (中文) 黑体 小四 非加粗 段前: 7.8 磅 段后: 0 磅 行距: 固定值 20 磅"/>
    <w:basedOn w:val="4"/>
    <w:next w:val="1"/>
    <w:qFormat/>
    <w:uiPriority w:val="0"/>
    <w:pPr>
      <w:spacing w:before="0" w:after="0" w:line="400" w:lineRule="exact"/>
    </w:pPr>
    <w:rPr>
      <w:rFonts w:eastAsia="黑体" w:cs="宋体"/>
      <w:b w:val="0"/>
      <w:bCs w:val="0"/>
      <w:sz w:val="24"/>
      <w:szCs w:val="20"/>
    </w:rPr>
  </w:style>
  <w:style w:type="paragraph" w:customStyle="1" w:styleId="244">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45">
    <w:name w:val="xl42"/>
    <w:basedOn w:val="1"/>
    <w:qFormat/>
    <w:uiPriority w:val="0"/>
    <w:pPr>
      <w:widowControl/>
      <w:pBdr>
        <w:left w:val="single" w:color="auto" w:sz="4" w:space="0"/>
      </w:pBdr>
      <w:spacing w:before="100" w:beforeAutospacing="1" w:after="100" w:afterAutospacing="1"/>
      <w:jc w:val="left"/>
      <w:textAlignment w:val="center"/>
    </w:pPr>
    <w:rPr>
      <w:rFonts w:hint="eastAsia" w:ascii="仿宋_GB2312" w:hAnsi="宋体" w:eastAsia="仿宋_GB2312"/>
      <w:b/>
      <w:bCs/>
      <w:kern w:val="0"/>
      <w:sz w:val="20"/>
      <w:szCs w:val="20"/>
    </w:rPr>
  </w:style>
  <w:style w:type="paragraph" w:customStyle="1" w:styleId="246">
    <w:name w:val="Char21"/>
    <w:basedOn w:val="1"/>
    <w:qFormat/>
    <w:uiPriority w:val="0"/>
    <w:pPr>
      <w:tabs>
        <w:tab w:val="left" w:pos="360"/>
      </w:tabs>
    </w:pPr>
    <w:rPr>
      <w:sz w:val="24"/>
    </w:rPr>
  </w:style>
  <w:style w:type="paragraph" w:customStyle="1" w:styleId="24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8">
    <w:name w:val="样式2"/>
    <w:basedOn w:val="4"/>
    <w:qFormat/>
    <w:uiPriority w:val="0"/>
    <w:pPr>
      <w:ind w:firstLine="137" w:firstLineChars="49"/>
    </w:pPr>
    <w:rPr>
      <w:rFonts w:ascii="黑体" w:hAnsi="宋体" w:eastAsia="黑体"/>
      <w:b w:val="0"/>
      <w:i/>
      <w:sz w:val="28"/>
      <w:szCs w:val="28"/>
    </w:rPr>
  </w:style>
  <w:style w:type="paragraph" w:customStyle="1" w:styleId="249">
    <w:name w:val="xl100"/>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250">
    <w:name w:val="xl13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25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52">
    <w:name w:val="xl11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53">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54">
    <w:name w:val="xl4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255">
    <w:name w:val="xl3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256">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257">
    <w:name w:val="H2"/>
    <w:basedOn w:val="1"/>
    <w:next w:val="1"/>
    <w:qFormat/>
    <w:uiPriority w:val="0"/>
    <w:pPr>
      <w:keepNext/>
      <w:autoSpaceDE w:val="0"/>
      <w:autoSpaceDN w:val="0"/>
      <w:adjustRightInd w:val="0"/>
      <w:spacing w:before="100" w:after="100"/>
      <w:jc w:val="left"/>
      <w:outlineLvl w:val="2"/>
    </w:pPr>
    <w:rPr>
      <w:b/>
      <w:kern w:val="0"/>
      <w:sz w:val="36"/>
      <w:szCs w:val="20"/>
    </w:rPr>
  </w:style>
  <w:style w:type="paragraph" w:customStyle="1" w:styleId="258">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25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260">
    <w:name w:val="样式1"/>
    <w:basedOn w:val="1"/>
    <w:next w:val="5"/>
    <w:qFormat/>
    <w:uiPriority w:val="0"/>
    <w:pPr>
      <w:spacing w:line="360" w:lineRule="auto"/>
      <w:ind w:firstLine="420" w:firstLineChars="200"/>
    </w:pPr>
    <w:rPr>
      <w:rFonts w:ascii="宋体" w:hAnsi="宋体"/>
      <w:szCs w:val="21"/>
    </w:rPr>
  </w:style>
  <w:style w:type="paragraph" w:customStyle="1" w:styleId="26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6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263">
    <w:name w:val="xl12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6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265">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66">
    <w:name w:val="pa-34"/>
    <w:basedOn w:val="1"/>
    <w:qFormat/>
    <w:uiPriority w:val="0"/>
    <w:pPr>
      <w:widowControl/>
      <w:spacing w:line="360" w:lineRule="atLeast"/>
      <w:ind w:firstLine="420"/>
      <w:jc w:val="left"/>
    </w:pPr>
    <w:rPr>
      <w:rFonts w:ascii="宋体" w:hAnsi="宋体" w:cs="宋体"/>
      <w:kern w:val="0"/>
      <w:sz w:val="24"/>
    </w:rPr>
  </w:style>
  <w:style w:type="paragraph" w:customStyle="1" w:styleId="2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68">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69">
    <w:name w:val="xl13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70">
    <w:name w:val="表格"/>
    <w:basedOn w:val="1"/>
    <w:qFormat/>
    <w:uiPriority w:val="0"/>
    <w:pPr>
      <w:jc w:val="center"/>
      <w:textAlignment w:val="center"/>
    </w:pPr>
    <w:rPr>
      <w:rFonts w:ascii="华文细黑" w:hAnsi="华文细黑"/>
      <w:kern w:val="0"/>
      <w:szCs w:val="20"/>
    </w:rPr>
  </w:style>
  <w:style w:type="paragraph" w:customStyle="1" w:styleId="271">
    <w:name w:val="xl14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72">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73">
    <w:name w:val="xl13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74">
    <w:name w:val="xl102"/>
    <w:basedOn w:val="1"/>
    <w:qFormat/>
    <w:uiPriority w:val="0"/>
    <w:pPr>
      <w:widowControl/>
      <w:spacing w:before="100" w:beforeAutospacing="1" w:after="100" w:afterAutospacing="1"/>
      <w:jc w:val="center"/>
    </w:pPr>
    <w:rPr>
      <w:rFonts w:ascii="宋体" w:hAnsi="宋体" w:cs="宋体"/>
      <w:b/>
      <w:bCs/>
      <w:kern w:val="0"/>
      <w:sz w:val="32"/>
      <w:szCs w:val="32"/>
    </w:rPr>
  </w:style>
  <w:style w:type="paragraph" w:customStyle="1" w:styleId="27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7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77">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7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79">
    <w:name w:val="xl43"/>
    <w:basedOn w:val="1"/>
    <w:qFormat/>
    <w:uiPriority w:val="0"/>
    <w:pPr>
      <w:widowControl/>
      <w:spacing w:before="100" w:beforeAutospacing="1" w:after="100" w:afterAutospacing="1"/>
      <w:jc w:val="left"/>
      <w:textAlignment w:val="center"/>
    </w:pPr>
    <w:rPr>
      <w:rFonts w:hint="eastAsia" w:ascii="仿宋_GB2312" w:hAnsi="宋体" w:eastAsia="仿宋_GB2312"/>
      <w:kern w:val="0"/>
      <w:sz w:val="20"/>
      <w:szCs w:val="20"/>
    </w:rPr>
  </w:style>
  <w:style w:type="paragraph" w:customStyle="1" w:styleId="28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1">
    <w:name w:val="xl1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2">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283">
    <w:name w:val="xl12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4">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5">
    <w:name w:val=".."/>
    <w:basedOn w:val="131"/>
    <w:next w:val="131"/>
    <w:qFormat/>
    <w:uiPriority w:val="0"/>
    <w:rPr>
      <w:color w:val="auto"/>
    </w:rPr>
  </w:style>
  <w:style w:type="paragraph" w:customStyle="1" w:styleId="286">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8">
    <w:name w:val="xl1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89">
    <w:name w:val="xl106"/>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right"/>
    </w:pPr>
    <w:rPr>
      <w:rFonts w:ascii="宋体" w:hAnsi="宋体" w:cs="宋体"/>
      <w:kern w:val="0"/>
      <w:sz w:val="18"/>
      <w:szCs w:val="18"/>
    </w:rPr>
  </w:style>
  <w:style w:type="paragraph" w:customStyle="1" w:styleId="290">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91">
    <w:name w:val="xl12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92">
    <w:name w:val="ptdl"/>
    <w:basedOn w:val="1"/>
    <w:qFormat/>
    <w:uiPriority w:val="0"/>
    <w:pPr>
      <w:spacing w:after="156"/>
      <w:ind w:firstLine="480"/>
    </w:pPr>
    <w:rPr>
      <w:sz w:val="24"/>
      <w:szCs w:val="20"/>
    </w:rPr>
  </w:style>
  <w:style w:type="paragraph" w:customStyle="1" w:styleId="293">
    <w:name w:val="Char Char Char Char Char Char Char Char Char"/>
    <w:basedOn w:val="1"/>
    <w:qFormat/>
    <w:uiPriority w:val="0"/>
  </w:style>
  <w:style w:type="paragraph" w:customStyle="1" w:styleId="294">
    <w:name w:val="默认段落字体 Para Char Char Char Char Char Char Char Char Char Char Char Char Char"/>
    <w:basedOn w:val="1"/>
    <w:qFormat/>
    <w:uiPriority w:val="0"/>
  </w:style>
  <w:style w:type="character" w:customStyle="1" w:styleId="295">
    <w:name w:val="纯文本 Char1"/>
    <w:qFormat/>
    <w:uiPriority w:val="0"/>
    <w:rPr>
      <w:rFonts w:ascii="宋体" w:hAnsi="Courier New" w:eastAsia="宋体"/>
      <w:kern w:val="2"/>
      <w:sz w:val="28"/>
      <w:szCs w:val="28"/>
      <w:lang w:val="en-US" w:eastAsia="zh-CN" w:bidi="ar-SA"/>
    </w:rPr>
  </w:style>
  <w:style w:type="character" w:customStyle="1" w:styleId="296">
    <w:name w:val="bk-editable-lemma-btns2"/>
    <w:basedOn w:val="48"/>
    <w:qFormat/>
    <w:uiPriority w:val="0"/>
  </w:style>
  <w:style w:type="paragraph" w:customStyle="1" w:styleId="297">
    <w:name w:val="Char Char1"/>
    <w:next w:val="1"/>
    <w:qFormat/>
    <w:uiPriority w:val="0"/>
    <w:pPr>
      <w:keepNext/>
      <w:keepLines/>
      <w:snapToGrid w:val="0"/>
      <w:spacing w:before="240" w:after="240"/>
      <w:ind w:left="624" w:hanging="624"/>
      <w:outlineLvl w:val="7"/>
    </w:pPr>
    <w:rPr>
      <w:rFonts w:ascii="Arial" w:hAnsi="Arial" w:eastAsia="黑体" w:cs="Arial"/>
      <w:sz w:val="21"/>
      <w:szCs w:val="21"/>
      <w:lang w:val="en-US" w:eastAsia="zh-CN" w:bidi="ar-SA"/>
    </w:rPr>
  </w:style>
  <w:style w:type="paragraph" w:customStyle="1" w:styleId="298">
    <w:name w:val="修订11"/>
    <w:qFormat/>
    <w:uiPriority w:val="0"/>
    <w:rPr>
      <w:rFonts w:ascii="Times New Roman" w:hAnsi="Times New Roman" w:eastAsia="宋体" w:cs="Times New Roman"/>
      <w:kern w:val="2"/>
      <w:sz w:val="21"/>
      <w:szCs w:val="24"/>
      <w:lang w:val="en-US" w:eastAsia="zh-CN" w:bidi="ar-SA"/>
    </w:rPr>
  </w:style>
  <w:style w:type="paragraph" w:customStyle="1" w:styleId="299">
    <w:name w:val="Char2"/>
    <w:basedOn w:val="1"/>
    <w:qFormat/>
    <w:uiPriority w:val="0"/>
    <w:pPr>
      <w:tabs>
        <w:tab w:val="left" w:pos="360"/>
      </w:tabs>
    </w:pPr>
    <w:rPr>
      <w:sz w:val="24"/>
    </w:rPr>
  </w:style>
  <w:style w:type="paragraph" w:customStyle="1" w:styleId="300">
    <w:name w:val="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301">
    <w:name w:val="标题 1 Char1"/>
    <w:basedOn w:val="48"/>
    <w:qFormat/>
    <w:uiPriority w:val="0"/>
    <w:rPr>
      <w:rFonts w:eastAsia="宋体" w:cs="Times New Roman"/>
      <w:b/>
      <w:bCs/>
      <w:kern w:val="44"/>
      <w:sz w:val="44"/>
      <w:szCs w:val="44"/>
    </w:rPr>
  </w:style>
  <w:style w:type="character" w:customStyle="1" w:styleId="302">
    <w:name w:val="标题 2 Char1"/>
    <w:basedOn w:val="48"/>
    <w:semiHidden/>
    <w:qFormat/>
    <w:uiPriority w:val="0"/>
    <w:rPr>
      <w:rFonts w:asciiTheme="majorHAnsi" w:hAnsiTheme="majorHAnsi" w:eastAsiaTheme="majorEastAsia" w:cstheme="majorBidi"/>
      <w:b/>
      <w:bCs/>
      <w:kern w:val="2"/>
      <w:sz w:val="32"/>
      <w:szCs w:val="32"/>
    </w:rPr>
  </w:style>
  <w:style w:type="character" w:customStyle="1" w:styleId="303">
    <w:name w:val="正文首行缩进 Char"/>
    <w:basedOn w:val="75"/>
    <w:link w:val="16"/>
    <w:qFormat/>
    <w:uiPriority w:val="0"/>
    <w:rPr>
      <w:kern w:val="2"/>
      <w:sz w:val="21"/>
      <w:szCs w:val="24"/>
    </w:rPr>
  </w:style>
  <w:style w:type="paragraph" w:customStyle="1" w:styleId="304">
    <w:name w:val="默认段落字体 Para Char Char Char Char Char Char Char Char Char Char"/>
    <w:basedOn w:val="1"/>
    <w:qFormat/>
    <w:uiPriority w:val="0"/>
    <w:rPr>
      <w:rFonts w:ascii="Calibri" w:hAnsi="Calibri"/>
      <w:szCs w:val="22"/>
    </w:rPr>
  </w:style>
  <w:style w:type="character" w:customStyle="1" w:styleId="305">
    <w:name w:val="脚注文本 Char1"/>
    <w:basedOn w:val="48"/>
    <w:semiHidden/>
    <w:qFormat/>
    <w:locked/>
    <w:uiPriority w:val="0"/>
    <w:rPr>
      <w:rFonts w:ascii="Arial" w:hAnsi="Arial" w:cs="Arial" w:eastAsiaTheme="minorEastAsia"/>
      <w:kern w:val="2"/>
      <w:sz w:val="18"/>
      <w:szCs w:val="18"/>
      <w:lang w:eastAsia="en-US"/>
    </w:rPr>
  </w:style>
  <w:style w:type="character" w:customStyle="1" w:styleId="306">
    <w:name w:val="副标题 Char1"/>
    <w:basedOn w:val="48"/>
    <w:qFormat/>
    <w:locked/>
    <w:uiPriority w:val="0"/>
    <w:rPr>
      <w:rFonts w:asciiTheme="minorHAnsi" w:hAnsiTheme="minorHAnsi" w:eastAsiaTheme="minorEastAsia" w:cstheme="minorBidi"/>
      <w:kern w:val="2"/>
      <w:sz w:val="21"/>
      <w:szCs w:val="24"/>
      <w:u w:val="single"/>
      <w:lang w:eastAsia="en-US"/>
    </w:rPr>
  </w:style>
  <w:style w:type="character" w:customStyle="1" w:styleId="307">
    <w:name w:val="正文文本缩进 3 Char1"/>
    <w:basedOn w:val="48"/>
    <w:semiHidden/>
    <w:qFormat/>
    <w:locked/>
    <w:uiPriority w:val="0"/>
    <w:rPr>
      <w:rFonts w:ascii="宋体" w:hAnsi="宋体" w:eastAsiaTheme="minorEastAsia" w:cstheme="minorBidi"/>
      <w:kern w:val="2"/>
      <w:sz w:val="28"/>
      <w:szCs w:val="28"/>
    </w:rPr>
  </w:style>
  <w:style w:type="character" w:customStyle="1" w:styleId="308">
    <w:name w:val="正文文本 Char1"/>
    <w:basedOn w:val="48"/>
    <w:qFormat/>
    <w:locked/>
    <w:uiPriority w:val="0"/>
    <w:rPr>
      <w:rFonts w:asciiTheme="minorHAnsi" w:hAnsiTheme="minorHAnsi" w:eastAsiaTheme="minorEastAsia" w:cstheme="minorBidi"/>
      <w:kern w:val="2"/>
      <w:sz w:val="21"/>
      <w:szCs w:val="24"/>
    </w:rPr>
  </w:style>
  <w:style w:type="character" w:customStyle="1" w:styleId="309">
    <w:name w:val="正文文本 3 Char1"/>
    <w:basedOn w:val="48"/>
    <w:semiHidden/>
    <w:qFormat/>
    <w:locked/>
    <w:uiPriority w:val="0"/>
    <w:rPr>
      <w:rFonts w:asciiTheme="minorHAnsi" w:hAnsiTheme="minorHAnsi" w:eastAsiaTheme="minorEastAsia" w:cstheme="minorBidi"/>
      <w:kern w:val="2"/>
      <w:sz w:val="16"/>
      <w:szCs w:val="16"/>
    </w:rPr>
  </w:style>
  <w:style w:type="character" w:customStyle="1" w:styleId="310">
    <w:name w:val="HTML 预设格式 Char1"/>
    <w:basedOn w:val="48"/>
    <w:semiHidden/>
    <w:qFormat/>
    <w:locked/>
    <w:uiPriority w:val="0"/>
    <w:rPr>
      <w:rFonts w:ascii="宋体" w:hAnsi="宋体" w:cs="宋体" w:eastAsiaTheme="minorEastAsia"/>
      <w:color w:val="000000"/>
      <w:kern w:val="2"/>
      <w:sz w:val="24"/>
      <w:szCs w:val="24"/>
    </w:rPr>
  </w:style>
  <w:style w:type="character" w:customStyle="1" w:styleId="311">
    <w:name w:val="文档结构图 Char1"/>
    <w:basedOn w:val="48"/>
    <w:qFormat/>
    <w:locked/>
    <w:uiPriority w:val="0"/>
    <w:rPr>
      <w:rFonts w:asciiTheme="minorHAnsi" w:hAnsiTheme="minorHAnsi" w:eastAsiaTheme="minorEastAsia" w:cstheme="minorBidi"/>
      <w:kern w:val="2"/>
      <w:sz w:val="21"/>
      <w:szCs w:val="24"/>
      <w:shd w:val="clear" w:color="auto" w:fill="000080"/>
    </w:rPr>
  </w:style>
  <w:style w:type="character" w:customStyle="1" w:styleId="312">
    <w:name w:val="正文文本 2 Char1"/>
    <w:basedOn w:val="48"/>
    <w:semiHidden/>
    <w:qFormat/>
    <w:locked/>
    <w:uiPriority w:val="0"/>
    <w:rPr>
      <w:rFonts w:asciiTheme="minorHAnsi" w:hAnsiTheme="minorHAnsi" w:eastAsiaTheme="minorEastAsia" w:cstheme="minorBidi"/>
      <w:i/>
      <w:iCs/>
      <w:kern w:val="2"/>
      <w:sz w:val="26"/>
      <w:szCs w:val="24"/>
    </w:rPr>
  </w:style>
  <w:style w:type="character" w:customStyle="1" w:styleId="313">
    <w:name w:val="正文文本缩进 2 Char1"/>
    <w:basedOn w:val="48"/>
    <w:semiHidden/>
    <w:qFormat/>
    <w:locked/>
    <w:uiPriority w:val="0"/>
    <w:rPr>
      <w:rFonts w:asciiTheme="minorHAnsi" w:hAnsiTheme="minorHAnsi" w:eastAsiaTheme="minorEastAsia" w:cstheme="minorBidi"/>
      <w:kern w:val="2"/>
      <w:sz w:val="28"/>
      <w:szCs w:val="24"/>
    </w:rPr>
  </w:style>
  <w:style w:type="character" w:customStyle="1" w:styleId="314">
    <w:name w:val="日期 Char1"/>
    <w:basedOn w:val="48"/>
    <w:qFormat/>
    <w:locked/>
    <w:uiPriority w:val="0"/>
    <w:rPr>
      <w:rFonts w:asciiTheme="minorHAnsi" w:hAnsiTheme="minorHAnsi" w:eastAsiaTheme="minorEastAsia" w:cstheme="minorBidi"/>
      <w:kern w:val="2"/>
      <w:sz w:val="21"/>
      <w:szCs w:val="24"/>
    </w:rPr>
  </w:style>
  <w:style w:type="character" w:customStyle="1" w:styleId="315">
    <w:name w:val="批注框文本 Char1"/>
    <w:basedOn w:val="48"/>
    <w:qFormat/>
    <w:locked/>
    <w:uiPriority w:val="0"/>
    <w:rPr>
      <w:rFonts w:asciiTheme="minorHAnsi" w:hAnsiTheme="minorHAnsi" w:eastAsiaTheme="minorEastAsia" w:cstheme="minorBidi"/>
      <w:kern w:val="2"/>
      <w:sz w:val="18"/>
      <w:szCs w:val="18"/>
    </w:rPr>
  </w:style>
  <w:style w:type="character" w:customStyle="1" w:styleId="316">
    <w:name w:val="正文文本缩进 Char1"/>
    <w:basedOn w:val="48"/>
    <w:semiHidden/>
    <w:qFormat/>
    <w:locked/>
    <w:uiPriority w:val="0"/>
    <w:rPr>
      <w:rFonts w:asciiTheme="minorHAnsi" w:hAnsiTheme="minorHAnsi" w:eastAsiaTheme="minorEastAsia" w:cstheme="minorBidi"/>
      <w:kern w:val="2"/>
      <w:sz w:val="21"/>
      <w:szCs w:val="24"/>
    </w:rPr>
  </w:style>
  <w:style w:type="character" w:customStyle="1" w:styleId="317">
    <w:name w:val="标题 Char1"/>
    <w:basedOn w:val="48"/>
    <w:qFormat/>
    <w:locked/>
    <w:uiPriority w:val="0"/>
    <w:rPr>
      <w:rFonts w:asciiTheme="minorHAnsi" w:hAnsiTheme="minorHAnsi" w:eastAsiaTheme="minorEastAsia" w:cstheme="minorBidi"/>
      <w:kern w:val="2"/>
      <w:sz w:val="21"/>
      <w:szCs w:val="24"/>
      <w:u w:val="single"/>
      <w:lang w:eastAsia="en-US"/>
    </w:rPr>
  </w:style>
  <w:style w:type="character" w:customStyle="1" w:styleId="318">
    <w:name w:val="尾注文本 Char1"/>
    <w:basedOn w:val="48"/>
    <w:semiHidden/>
    <w:qFormat/>
    <w:locked/>
    <w:uiPriority w:val="0"/>
    <w:rPr>
      <w:rFonts w:ascii="Arial" w:hAnsi="Arial" w:cs="Arial" w:eastAsiaTheme="minorEastAsia"/>
      <w:kern w:val="2"/>
      <w:sz w:val="21"/>
      <w:szCs w:val="24"/>
      <w:lang w:eastAsia="en-US"/>
    </w:rPr>
  </w:style>
  <w:style w:type="paragraph" w:customStyle="1" w:styleId="319">
    <w:name w:val="修订2"/>
    <w:hidden/>
    <w:qFormat/>
    <w:uiPriority w:val="0"/>
    <w:rPr>
      <w:rFonts w:ascii="Times New Roman" w:hAnsi="Times New Roman" w:eastAsia="宋体" w:cs="Times New Roman"/>
      <w:kern w:val="2"/>
      <w:sz w:val="21"/>
      <w:szCs w:val="24"/>
      <w:lang w:val="en-US" w:eastAsia="zh-CN" w:bidi="ar-SA"/>
    </w:rPr>
  </w:style>
  <w:style w:type="character" w:customStyle="1" w:styleId="320">
    <w:name w:val="引用 Char1"/>
    <w:qFormat/>
    <w:uiPriority w:val="0"/>
    <w:rPr>
      <w:i/>
      <w:iCs/>
      <w:color w:val="000000"/>
      <w:kern w:val="2"/>
      <w:sz w:val="21"/>
      <w:szCs w:val="22"/>
    </w:rPr>
  </w:style>
  <w:style w:type="character" w:customStyle="1" w:styleId="321">
    <w:name w:val="标题4 Char Char"/>
    <w:link w:val="322"/>
    <w:qFormat/>
    <w:uiPriority w:val="0"/>
    <w:rPr>
      <w:rFonts w:ascii="Arial" w:hAnsi="Arial"/>
      <w:b/>
      <w:bCs/>
      <w:sz w:val="24"/>
      <w:szCs w:val="32"/>
    </w:rPr>
  </w:style>
  <w:style w:type="paragraph" w:customStyle="1" w:styleId="322">
    <w:name w:val="标题4"/>
    <w:basedOn w:val="3"/>
    <w:next w:val="23"/>
    <w:link w:val="321"/>
    <w:qFormat/>
    <w:uiPriority w:val="0"/>
    <w:rPr>
      <w:rFonts w:ascii="Arial" w:hAnsi="Arial"/>
      <w:kern w:val="0"/>
      <w:sz w:val="24"/>
    </w:rPr>
  </w:style>
  <w:style w:type="character" w:customStyle="1" w:styleId="323">
    <w:name w:val="明显引用 Char"/>
    <w:link w:val="324"/>
    <w:qFormat/>
    <w:uiPriority w:val="0"/>
    <w:rPr>
      <w:b/>
      <w:bCs/>
      <w:i/>
      <w:iCs/>
      <w:color w:val="4F81BD"/>
      <w:kern w:val="2"/>
      <w:sz w:val="21"/>
      <w:szCs w:val="22"/>
    </w:rPr>
  </w:style>
  <w:style w:type="paragraph" w:customStyle="1" w:styleId="324">
    <w:name w:val="明显引用1"/>
    <w:basedOn w:val="1"/>
    <w:next w:val="1"/>
    <w:link w:val="323"/>
    <w:qFormat/>
    <w:uiPriority w:val="0"/>
    <w:pPr>
      <w:pBdr>
        <w:bottom w:val="single" w:color="4F81BD" w:sz="4" w:space="4"/>
      </w:pBdr>
      <w:spacing w:before="200" w:after="280"/>
      <w:ind w:left="936" w:right="936"/>
    </w:pPr>
    <w:rPr>
      <w:b/>
      <w:bCs/>
      <w:i/>
      <w:iCs/>
      <w:color w:val="4F81BD"/>
      <w:szCs w:val="22"/>
    </w:rPr>
  </w:style>
  <w:style w:type="character" w:customStyle="1" w:styleId="325">
    <w:name w:val="不明显参考1"/>
    <w:qFormat/>
    <w:uiPriority w:val="0"/>
    <w:rPr>
      <w:smallCaps/>
      <w:color w:val="C0504D"/>
      <w:u w:val="single"/>
    </w:rPr>
  </w:style>
  <w:style w:type="character" w:customStyle="1" w:styleId="326">
    <w:name w:val="textcontents"/>
    <w:qFormat/>
    <w:uiPriority w:val="0"/>
    <w:rPr>
      <w:rFonts w:cs="Times New Roman"/>
    </w:rPr>
  </w:style>
  <w:style w:type="character" w:customStyle="1" w:styleId="327">
    <w:name w:val="明显强调1"/>
    <w:qFormat/>
    <w:uiPriority w:val="0"/>
    <w:rPr>
      <w:b/>
      <w:bCs/>
      <w:i/>
      <w:iCs/>
      <w:color w:val="4F81BD"/>
    </w:rPr>
  </w:style>
  <w:style w:type="character" w:customStyle="1" w:styleId="328">
    <w:name w:val="明显引用 Char1"/>
    <w:qFormat/>
    <w:uiPriority w:val="0"/>
    <w:rPr>
      <w:b/>
      <w:bCs/>
      <w:i/>
      <w:iCs/>
      <w:color w:val="4F81BD"/>
      <w:kern w:val="2"/>
      <w:sz w:val="21"/>
      <w:szCs w:val="22"/>
    </w:rPr>
  </w:style>
  <w:style w:type="character" w:customStyle="1" w:styleId="329">
    <w:name w:val="引用 Char"/>
    <w:link w:val="330"/>
    <w:qFormat/>
    <w:uiPriority w:val="0"/>
    <w:rPr>
      <w:i/>
      <w:iCs/>
      <w:color w:val="000000"/>
      <w:kern w:val="2"/>
      <w:sz w:val="21"/>
      <w:szCs w:val="22"/>
    </w:rPr>
  </w:style>
  <w:style w:type="paragraph" w:customStyle="1" w:styleId="330">
    <w:name w:val="引用1"/>
    <w:basedOn w:val="1"/>
    <w:next w:val="1"/>
    <w:link w:val="329"/>
    <w:qFormat/>
    <w:uiPriority w:val="0"/>
    <w:rPr>
      <w:i/>
      <w:iCs/>
      <w:color w:val="000000"/>
      <w:szCs w:val="22"/>
    </w:rPr>
  </w:style>
  <w:style w:type="character" w:customStyle="1" w:styleId="331">
    <w:name w:val="标题5 Char Char"/>
    <w:link w:val="332"/>
    <w:qFormat/>
    <w:uiPriority w:val="0"/>
    <w:rPr>
      <w:rFonts w:ascii="Arial" w:hAnsi="Arial"/>
      <w:b/>
      <w:bCs/>
      <w:sz w:val="24"/>
      <w:szCs w:val="32"/>
    </w:rPr>
  </w:style>
  <w:style w:type="paragraph" w:customStyle="1" w:styleId="332">
    <w:name w:val="标题5"/>
    <w:basedOn w:val="4"/>
    <w:link w:val="331"/>
    <w:qFormat/>
    <w:uiPriority w:val="0"/>
    <w:rPr>
      <w:rFonts w:ascii="Arial" w:hAnsi="Arial"/>
      <w:kern w:val="0"/>
      <w:sz w:val="24"/>
    </w:rPr>
  </w:style>
  <w:style w:type="character" w:customStyle="1" w:styleId="333">
    <w:name w:val="批注文字 Char Char"/>
    <w:qFormat/>
    <w:uiPriority w:val="0"/>
    <w:rPr>
      <w:rFonts w:ascii="宋体" w:hAnsi="Times New Roman" w:eastAsia="宋体" w:cs="Times New Roman"/>
      <w:sz w:val="28"/>
      <w:szCs w:val="20"/>
    </w:rPr>
  </w:style>
  <w:style w:type="character" w:customStyle="1" w:styleId="334">
    <w:name w:val="书籍标题1"/>
    <w:qFormat/>
    <w:uiPriority w:val="0"/>
    <w:rPr>
      <w:b/>
      <w:bCs/>
      <w:smallCaps/>
      <w:spacing w:val="5"/>
    </w:rPr>
  </w:style>
  <w:style w:type="character" w:customStyle="1" w:styleId="335">
    <w:name w:val="不明显强调1"/>
    <w:qFormat/>
    <w:uiPriority w:val="0"/>
    <w:rPr>
      <w:i/>
      <w:iCs/>
      <w:color w:val="808080"/>
    </w:rPr>
  </w:style>
  <w:style w:type="character" w:customStyle="1" w:styleId="336">
    <w:name w:val="明显参考1"/>
    <w:qFormat/>
    <w:uiPriority w:val="0"/>
    <w:rPr>
      <w:b/>
      <w:bCs/>
      <w:smallCaps/>
      <w:color w:val="C0504D"/>
      <w:spacing w:val="5"/>
      <w:u w:val="single"/>
    </w:rPr>
  </w:style>
  <w:style w:type="character" w:customStyle="1" w:styleId="337">
    <w:name w:val="明显引用 Char2"/>
    <w:basedOn w:val="48"/>
    <w:qFormat/>
    <w:uiPriority w:val="30"/>
    <w:rPr>
      <w:b/>
      <w:bCs/>
      <w:i/>
      <w:iCs/>
      <w:color w:val="4F81BD" w:themeColor="accent1"/>
      <w:kern w:val="2"/>
      <w:sz w:val="21"/>
      <w:szCs w:val="24"/>
      <w14:textFill>
        <w14:solidFill>
          <w14:schemeClr w14:val="accent1"/>
        </w14:solidFill>
      </w14:textFill>
    </w:rPr>
  </w:style>
  <w:style w:type="paragraph" w:customStyle="1" w:styleId="338">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character" w:customStyle="1" w:styleId="339">
    <w:name w:val="引用 Char2"/>
    <w:basedOn w:val="48"/>
    <w:qFormat/>
    <w:uiPriority w:val="29"/>
    <w:rPr>
      <w:i/>
      <w:iCs/>
      <w:color w:val="000000" w:themeColor="text1"/>
      <w:kern w:val="2"/>
      <w:sz w:val="21"/>
      <w:szCs w:val="24"/>
      <w14:textFill>
        <w14:solidFill>
          <w14:schemeClr w14:val="tx1"/>
        </w14:solidFill>
      </w14:textFill>
    </w:rPr>
  </w:style>
  <w:style w:type="paragraph" w:customStyle="1" w:styleId="340">
    <w:name w:val="Char11"/>
    <w:basedOn w:val="1"/>
    <w:qFormat/>
    <w:uiPriority w:val="0"/>
    <w:rPr>
      <w:sz w:val="24"/>
      <w:szCs w:val="20"/>
    </w:rPr>
  </w:style>
  <w:style w:type="paragraph" w:customStyle="1" w:styleId="341">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2">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343">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theme" Target="theme/theme1.xml"/><Relationship Id="rId26" Type="http://schemas.openxmlformats.org/officeDocument/2006/relationships/footer" Target="footer17.xml"/><Relationship Id="rId25" Type="http://schemas.openxmlformats.org/officeDocument/2006/relationships/footer" Target="footer16.xml"/><Relationship Id="rId24" Type="http://schemas.openxmlformats.org/officeDocument/2006/relationships/footer" Target="footer15.xml"/><Relationship Id="rId23" Type="http://schemas.openxmlformats.org/officeDocument/2006/relationships/footer" Target="footer14.xml"/><Relationship Id="rId22" Type="http://schemas.openxmlformats.org/officeDocument/2006/relationships/header" Target="header7.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header" Target="header6.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header" Target="header5.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47034B-F71D-4EEE-8173-0BDC089BE684}">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44</Pages>
  <Words>3357</Words>
  <Characters>19135</Characters>
  <Lines>159</Lines>
  <Paragraphs>44</Paragraphs>
  <TotalTime>9</TotalTime>
  <ScaleCrop>false</ScaleCrop>
  <LinksUpToDate>false</LinksUpToDate>
  <CharactersWithSpaces>22448</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2015-11-19T08:05:00Z</dcterms:created>
  <dc:creator>微软用户</dc:creator>
  <cp:lastModifiedBy>八月骄阳</cp:lastModifiedBy>
  <cp:lastPrinted>2015-07-14T11:13:00Z</cp:lastPrinted>
  <dcterms:modified xsi:type="dcterms:W3CDTF">2019-03-01T04:47:16Z</dcterms:modified>
  <dc:title>住房和城乡建设部关于印发《房屋建筑和市政工程标准施工招标资格预审文件》和《房屋建筑和市政工程标准施工招标文件》的通知</dc:title>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